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7650"/>
        <w:gridCol w:w="1658"/>
      </w:tblGrid>
      <w:tr w:rsidR="00C9497C" w:rsidRPr="007D00FA" w:rsidTr="00294A86">
        <w:tc>
          <w:tcPr>
            <w:tcW w:w="9308" w:type="dxa"/>
            <w:gridSpan w:val="2"/>
            <w:shd w:val="clear" w:color="auto" w:fill="FFFF66"/>
          </w:tcPr>
          <w:p w:rsidR="00C9497C" w:rsidRPr="007D00FA" w:rsidRDefault="00C9497C" w:rsidP="00294A86">
            <w:pPr>
              <w:tabs>
                <w:tab w:val="left" w:pos="2628"/>
                <w:tab w:val="left" w:pos="5508"/>
                <w:tab w:val="left" w:pos="7488"/>
                <w:tab w:val="left" w:pos="10908"/>
              </w:tabs>
              <w:ind w:left="29"/>
              <w:rPr>
                <w:rFonts w:asciiTheme="minorHAnsi" w:eastAsiaTheme="majorEastAsia" w:hAnsiTheme="minorHAnsi"/>
                <w:i/>
                <w:szCs w:val="20"/>
              </w:rPr>
            </w:pPr>
            <w:r w:rsidRPr="007D00FA">
              <w:rPr>
                <w:rFonts w:asciiTheme="minorHAnsi" w:hAnsiTheme="minorHAnsi"/>
              </w:rPr>
              <w:br w:type="page"/>
            </w:r>
            <w:r w:rsidRPr="007D00FA">
              <w:rPr>
                <w:rFonts w:asciiTheme="minorHAnsi" w:eastAsiaTheme="majorEastAsia" w:hAnsiTheme="minorHAnsi"/>
                <w:i/>
                <w:szCs w:val="20"/>
              </w:rPr>
              <w:t>OLT 1 FAVORISER UNE DYNAMIQUE FLUVIALE ACTIVE ET MAINTENIR LES  RÔLES ECOLOGIQUES DE LA RN POUR LES HABITATS ET ESPÈCES DU LIT VIF</w:t>
            </w:r>
          </w:p>
          <w:p w:rsidR="00C9497C" w:rsidRPr="007D00FA" w:rsidRDefault="00C9497C" w:rsidP="00294A86">
            <w:pPr>
              <w:tabs>
                <w:tab w:val="left" w:pos="2628"/>
                <w:tab w:val="left" w:pos="5508"/>
                <w:tab w:val="left" w:pos="7488"/>
                <w:tab w:val="left" w:pos="10908"/>
              </w:tabs>
              <w:ind w:left="596"/>
              <w:rPr>
                <w:rFonts w:asciiTheme="minorHAnsi" w:hAnsiTheme="minorHAnsi"/>
                <w:bCs/>
                <w:i/>
                <w:szCs w:val="20"/>
              </w:rPr>
            </w:pPr>
            <w:r w:rsidRPr="007D00FA">
              <w:rPr>
                <w:rFonts w:asciiTheme="minorHAnsi" w:hAnsiTheme="minorHAnsi"/>
                <w:bCs/>
                <w:i/>
                <w:szCs w:val="20"/>
              </w:rPr>
              <w:t>OP 2.1 : Assurer des conditions d'accueil favorables aux espèces sensibles du lit vif</w:t>
            </w:r>
          </w:p>
        </w:tc>
      </w:tr>
      <w:tr w:rsidR="00C9497C" w:rsidRPr="007D00FA" w:rsidTr="00294A86">
        <w:tc>
          <w:tcPr>
            <w:tcW w:w="7650" w:type="dxa"/>
            <w:shd w:val="clear" w:color="auto" w:fill="auto"/>
            <w:vAlign w:val="center"/>
          </w:tcPr>
          <w:p w:rsidR="00C9497C" w:rsidRPr="007D00FA" w:rsidRDefault="00C9497C" w:rsidP="00294A86">
            <w:pPr>
              <w:pStyle w:val="Titre3"/>
              <w:rPr>
                <w:rFonts w:asciiTheme="minorHAnsi" w:hAnsiTheme="minorHAnsi"/>
              </w:rPr>
            </w:pPr>
            <w:bookmarkStart w:id="0" w:name="_Toc480548290"/>
            <w:bookmarkStart w:id="1" w:name="_Toc496283556"/>
            <w:r w:rsidRPr="007D00FA">
              <w:rPr>
                <w:rFonts w:asciiTheme="minorHAnsi" w:hAnsiTheme="minorHAnsi"/>
              </w:rPr>
              <w:t>IP 1.2.2 : Contrôle présence et régulation de la population nicheuse de Bernache du Canada.</w:t>
            </w:r>
            <w:bookmarkEnd w:id="0"/>
            <w:bookmarkEnd w:id="1"/>
          </w:p>
        </w:tc>
        <w:tc>
          <w:tcPr>
            <w:tcW w:w="1658" w:type="dxa"/>
            <w:shd w:val="clear" w:color="auto" w:fill="auto"/>
            <w:vAlign w:val="center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</w:rPr>
            </w:pPr>
            <w:r w:rsidRPr="007D00FA">
              <w:rPr>
                <w:rFonts w:asciiTheme="minorHAnsi" w:hAnsiTheme="minorHAnsi"/>
                <w:b/>
              </w:rPr>
              <w:t>Priorité 1</w:t>
            </w:r>
          </w:p>
        </w:tc>
      </w:tr>
    </w:tbl>
    <w:p w:rsidR="00C9497C" w:rsidRDefault="00C55F50" w:rsidP="00C55F50">
      <w:pPr>
        <w:jc w:val="center"/>
        <w:rPr>
          <w:rFonts w:asciiTheme="minorHAnsi" w:hAnsiTheme="minorHAnsi"/>
          <w:color w:val="FF0000"/>
          <w:sz w:val="28"/>
          <w:szCs w:val="28"/>
        </w:rPr>
      </w:pPr>
      <w:r w:rsidRPr="00C55F50">
        <w:rPr>
          <w:rFonts w:asciiTheme="minorHAnsi" w:hAnsiTheme="minorHAnsi"/>
          <w:color w:val="FF0000"/>
          <w:sz w:val="28"/>
          <w:szCs w:val="28"/>
        </w:rPr>
        <w:t>Version ajustée suite consultation publique</w:t>
      </w:r>
    </w:p>
    <w:p w:rsidR="00C55F50" w:rsidRPr="00C55F50" w:rsidRDefault="00C55F50" w:rsidP="00C55F50">
      <w:pPr>
        <w:jc w:val="center"/>
        <w:rPr>
          <w:rFonts w:asciiTheme="minorHAnsi" w:hAnsiTheme="minorHAnsi"/>
          <w:color w:val="FF0000"/>
          <w:szCs w:val="20"/>
        </w:rPr>
      </w:pPr>
    </w:p>
    <w:p w:rsidR="00C9497C" w:rsidRPr="007D00FA" w:rsidRDefault="00C9497C" w:rsidP="00C9497C">
      <w:pPr>
        <w:shd w:val="clear" w:color="auto" w:fill="BDD6EE" w:themeFill="accent1" w:themeFillTint="66"/>
        <w:rPr>
          <w:rFonts w:asciiTheme="minorHAnsi" w:hAnsiTheme="minorHAnsi"/>
          <w:bCs/>
          <w:szCs w:val="20"/>
        </w:rPr>
      </w:pPr>
      <w:r w:rsidRPr="007D00FA">
        <w:rPr>
          <w:rFonts w:asciiTheme="minorHAnsi" w:hAnsiTheme="minorHAnsi"/>
          <w:b/>
          <w:bCs/>
          <w:szCs w:val="20"/>
        </w:rPr>
        <w:t xml:space="preserve">Contexte de l’action : </w:t>
      </w:r>
      <w:r w:rsidRPr="007D00FA">
        <w:rPr>
          <w:rFonts w:asciiTheme="minorHAnsi" w:hAnsiTheme="minorHAnsi"/>
          <w:bCs/>
          <w:szCs w:val="20"/>
        </w:rPr>
        <w:t xml:space="preserve"> </w:t>
      </w:r>
    </w:p>
    <w:p w:rsidR="00C9497C" w:rsidRPr="007D00FA" w:rsidRDefault="00C9497C" w:rsidP="00C9497C">
      <w:pPr>
        <w:spacing w:line="259" w:lineRule="auto"/>
        <w:rPr>
          <w:rFonts w:asciiTheme="minorHAnsi" w:hAnsiTheme="minorHAnsi"/>
          <w:color w:val="00B050"/>
          <w:szCs w:val="20"/>
        </w:rPr>
      </w:pPr>
    </w:p>
    <w:p w:rsidR="00C9497C" w:rsidRPr="007D00FA" w:rsidRDefault="00C9497C" w:rsidP="00C9497C">
      <w:pPr>
        <w:ind w:left="426"/>
        <w:rPr>
          <w:rFonts w:asciiTheme="minorHAnsi" w:hAnsiTheme="minorHAnsi"/>
          <w:color w:val="7F7F7F" w:themeColor="text1" w:themeTint="80"/>
          <w:szCs w:val="20"/>
        </w:rPr>
      </w:pPr>
      <w:r w:rsidRPr="007D00FA">
        <w:rPr>
          <w:rFonts w:asciiTheme="minorHAnsi" w:hAnsiTheme="minorHAnsi"/>
          <w:color w:val="7F7F7F" w:themeColor="text1" w:themeTint="80"/>
          <w:szCs w:val="20"/>
        </w:rPr>
        <w:t xml:space="preserve">Facteurs d’influence : </w:t>
      </w:r>
    </w:p>
    <w:p w:rsidR="00C9497C" w:rsidRPr="007D00FA" w:rsidRDefault="00C9497C" w:rsidP="00C9497C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2CC" w:themeFill="accent4" w:themeFillTint="33"/>
        <w:rPr>
          <w:rFonts w:asciiTheme="minorHAnsi" w:hAnsiTheme="minorHAnsi"/>
          <w:i/>
          <w:color w:val="808080" w:themeColor="background1" w:themeShade="80"/>
          <w:szCs w:val="20"/>
          <w:u w:val="single"/>
        </w:rPr>
      </w:pPr>
      <w:r w:rsidRPr="007D00FA">
        <w:rPr>
          <w:rFonts w:asciiTheme="minorHAnsi" w:hAnsiTheme="minorHAnsi"/>
          <w:i/>
          <w:color w:val="808080" w:themeColor="background1" w:themeShade="80"/>
          <w:szCs w:val="20"/>
          <w:u w:val="single"/>
        </w:rPr>
        <w:t>Négatifs :</w:t>
      </w:r>
    </w:p>
    <w:p w:rsidR="00C9497C" w:rsidRPr="007D00FA" w:rsidRDefault="00C9497C" w:rsidP="00C9497C">
      <w:pPr>
        <w:pStyle w:val="En-tte"/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2CC" w:themeFill="accent4" w:themeFillTint="33"/>
        <w:tabs>
          <w:tab w:val="left" w:pos="708"/>
        </w:tabs>
        <w:ind w:firstLine="0"/>
        <w:rPr>
          <w:rFonts w:asciiTheme="minorHAnsi" w:hAnsiTheme="minorHAnsi"/>
          <w:i/>
          <w:color w:val="808080" w:themeColor="background1" w:themeShade="80"/>
          <w:szCs w:val="20"/>
        </w:rPr>
      </w:pPr>
      <w:r w:rsidRPr="007D00FA">
        <w:rPr>
          <w:rFonts w:asciiTheme="minorHAnsi" w:hAnsiTheme="minorHAnsi"/>
          <w:i/>
          <w:color w:val="808080" w:themeColor="background1" w:themeShade="80"/>
          <w:szCs w:val="20"/>
        </w:rPr>
        <w:t>Arrivée de la Bernache du Canada, espèce exotique nouvelle, très territoriale, qui empêche les sternes et autres espèces de s'installer</w:t>
      </w:r>
    </w:p>
    <w:p w:rsidR="00C9497C" w:rsidRPr="007D00FA" w:rsidRDefault="00C9497C" w:rsidP="00C9497C">
      <w:pPr>
        <w:ind w:left="426"/>
        <w:rPr>
          <w:rFonts w:asciiTheme="minorHAnsi" w:hAnsiTheme="minorHAnsi"/>
          <w:color w:val="7F7F7F" w:themeColor="text1" w:themeTint="80"/>
          <w:szCs w:val="20"/>
        </w:rPr>
      </w:pPr>
    </w:p>
    <w:p w:rsidR="00C9497C" w:rsidRPr="007D00FA" w:rsidRDefault="00C9497C" w:rsidP="00C9497C">
      <w:pPr>
        <w:ind w:left="426"/>
        <w:rPr>
          <w:rFonts w:asciiTheme="minorHAnsi" w:hAnsiTheme="minorHAnsi"/>
          <w:color w:val="7F7F7F" w:themeColor="text1" w:themeTint="80"/>
          <w:szCs w:val="20"/>
        </w:rPr>
      </w:pPr>
      <w:r w:rsidRPr="007D00FA">
        <w:rPr>
          <w:rFonts w:asciiTheme="minorHAnsi" w:hAnsiTheme="minorHAnsi"/>
          <w:color w:val="7F7F7F" w:themeColor="text1" w:themeTint="80"/>
          <w:szCs w:val="20"/>
        </w:rPr>
        <w:t>Attendus de l’Objectif du Plan OP 1.1 :</w:t>
      </w:r>
    </w:p>
    <w:p w:rsidR="00C9497C" w:rsidRPr="007D00FA" w:rsidRDefault="00C9497C" w:rsidP="00C9497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0" w:color="BFBFBF" w:themeColor="background1" w:themeShade="BF"/>
          <w:right w:val="single" w:sz="4" w:space="4" w:color="BFBFBF" w:themeColor="background1" w:themeShade="BF"/>
        </w:pBdr>
        <w:shd w:val="clear" w:color="auto" w:fill="FFF2CC" w:themeFill="accent4" w:themeFillTint="33"/>
        <w:rPr>
          <w:rFonts w:asciiTheme="minorHAnsi" w:hAnsiTheme="minorHAnsi"/>
          <w:i/>
          <w:color w:val="7F7F7F" w:themeColor="text1" w:themeTint="80"/>
          <w:szCs w:val="20"/>
        </w:rPr>
      </w:pPr>
      <w:r w:rsidRPr="007D00FA">
        <w:rPr>
          <w:rFonts w:asciiTheme="minorHAnsi" w:hAnsiTheme="minorHAnsi"/>
          <w:i/>
          <w:color w:val="7F7F7F" w:themeColor="text1" w:themeTint="80"/>
          <w:szCs w:val="20"/>
        </w:rPr>
        <w:t>Les populations de Bernache  du Canada sont contrôlées.</w:t>
      </w:r>
    </w:p>
    <w:p w:rsidR="00C9497C" w:rsidRPr="007D00FA" w:rsidRDefault="00C9497C" w:rsidP="00C9497C">
      <w:pPr>
        <w:rPr>
          <w:rFonts w:asciiTheme="minorHAnsi" w:hAnsiTheme="minorHAnsi"/>
          <w:szCs w:val="20"/>
        </w:rPr>
      </w:pPr>
    </w:p>
    <w:p w:rsidR="00C9497C" w:rsidRPr="007D00FA" w:rsidRDefault="00C9497C" w:rsidP="00C9497C">
      <w:pPr>
        <w:ind w:firstLine="708"/>
        <w:rPr>
          <w:rFonts w:asciiTheme="minorHAnsi" w:hAnsiTheme="minorHAnsi"/>
          <w:i/>
          <w:szCs w:val="20"/>
        </w:rPr>
      </w:pPr>
      <w:r w:rsidRPr="007D00FA">
        <w:rPr>
          <w:rFonts w:asciiTheme="minorHAnsi" w:hAnsiTheme="minorHAnsi"/>
          <w:szCs w:val="20"/>
        </w:rPr>
        <w:t xml:space="preserve">Espèce exotique envahissante, la reproduction de 2 à 3 couples sur la réserve naturelle est prouvée depuis 2012. Compte tenu de sa grande taille, son comportement extrêmement territorial et sa biologie de la reproduction </w:t>
      </w:r>
      <w:r w:rsidRPr="007D00FA">
        <w:rPr>
          <w:rFonts w:asciiTheme="minorHAnsi" w:hAnsiTheme="minorHAnsi"/>
          <w:i/>
          <w:szCs w:val="20"/>
        </w:rPr>
        <w:t>(installation de son nid sur des ilots semi végétalisés du lit vif, rassemblement des nichées en nurserie et défense),</w:t>
      </w:r>
      <w:r w:rsidRPr="007D00FA">
        <w:rPr>
          <w:rFonts w:asciiTheme="minorHAnsi" w:hAnsiTheme="minorHAnsi"/>
          <w:szCs w:val="20"/>
        </w:rPr>
        <w:t xml:space="preserve"> elle entre en compétition  avec les espèces d’oiseaux à responsabilités (sternes, </w:t>
      </w:r>
      <w:proofErr w:type="spellStart"/>
      <w:r w:rsidRPr="007D00FA">
        <w:rPr>
          <w:rFonts w:asciiTheme="minorHAnsi" w:hAnsiTheme="minorHAnsi"/>
          <w:szCs w:val="20"/>
        </w:rPr>
        <w:t>oedicnème</w:t>
      </w:r>
      <w:proofErr w:type="spellEnd"/>
      <w:r w:rsidRPr="007D00FA">
        <w:rPr>
          <w:rFonts w:asciiTheme="minorHAnsi" w:hAnsiTheme="minorHAnsi"/>
          <w:szCs w:val="20"/>
        </w:rPr>
        <w:t xml:space="preserve">…) et devient une menace pour le bon déroulement de la nidification des oiseaux nicheurs des grèves. Afin d’éviter ce scénario sur l’espace réserve naturelle, il convient désormais de contrôler ses effectifs </w:t>
      </w:r>
      <w:r w:rsidRPr="00C9497C">
        <w:rPr>
          <w:rFonts w:asciiTheme="minorHAnsi" w:hAnsiTheme="minorHAnsi"/>
          <w:color w:val="FF0000"/>
          <w:szCs w:val="20"/>
        </w:rPr>
        <w:t xml:space="preserve">par stérilisation de œufs et/ou tirs silencieux </w:t>
      </w:r>
      <w:r w:rsidRPr="00C9497C">
        <w:rPr>
          <w:rFonts w:asciiTheme="minorHAnsi" w:hAnsiTheme="minorHAnsi"/>
          <w:strike/>
          <w:szCs w:val="20"/>
        </w:rPr>
        <w:t xml:space="preserve">par tirs et/ou stérilisation des </w:t>
      </w:r>
      <w:proofErr w:type="spellStart"/>
      <w:r w:rsidRPr="00C9497C">
        <w:rPr>
          <w:rFonts w:asciiTheme="minorHAnsi" w:hAnsiTheme="minorHAnsi"/>
          <w:strike/>
          <w:szCs w:val="20"/>
        </w:rPr>
        <w:t>oeufs</w:t>
      </w:r>
      <w:proofErr w:type="spellEnd"/>
      <w:r w:rsidRPr="007D00FA">
        <w:rPr>
          <w:rFonts w:asciiTheme="minorHAnsi" w:hAnsiTheme="minorHAnsi"/>
          <w:szCs w:val="20"/>
        </w:rPr>
        <w:t xml:space="preserve"> dans le cadre de l’article 8 du décret de la réserve naturelle </w:t>
      </w:r>
      <w:r w:rsidRPr="007D00FA">
        <w:rPr>
          <w:rFonts w:asciiTheme="minorHAnsi" w:hAnsiTheme="minorHAnsi"/>
          <w:i/>
          <w:szCs w:val="20"/>
        </w:rPr>
        <w:t xml:space="preserve">(Le préfet peut prendre, après avis du comité consultatif, toutes mesures en vue d’assurer en cas de besoin, la conservation d’espèces animales…/…dans la </w:t>
      </w:r>
      <w:proofErr w:type="spellStart"/>
      <w:r w:rsidRPr="007D00FA">
        <w:rPr>
          <w:rFonts w:asciiTheme="minorHAnsi" w:hAnsiTheme="minorHAnsi"/>
          <w:i/>
          <w:szCs w:val="20"/>
        </w:rPr>
        <w:t>reserve</w:t>
      </w:r>
      <w:proofErr w:type="spellEnd"/>
      <w:r w:rsidRPr="007D00FA">
        <w:rPr>
          <w:rFonts w:asciiTheme="minorHAnsi" w:hAnsiTheme="minorHAnsi"/>
          <w:i/>
          <w:szCs w:val="20"/>
        </w:rPr>
        <w:t> »)</w:t>
      </w:r>
    </w:p>
    <w:p w:rsidR="00C9497C" w:rsidRPr="007D00FA" w:rsidRDefault="00C9497C" w:rsidP="00C55F50">
      <w:pPr>
        <w:ind w:firstLine="0"/>
        <w:rPr>
          <w:rFonts w:asciiTheme="minorHAnsi" w:hAnsiTheme="minorHAnsi"/>
          <w:szCs w:val="20"/>
        </w:rPr>
      </w:pPr>
    </w:p>
    <w:p w:rsidR="00C9497C" w:rsidRPr="007D00FA" w:rsidRDefault="00C9497C" w:rsidP="00C9497C">
      <w:pPr>
        <w:shd w:val="clear" w:color="auto" w:fill="BDD6EE" w:themeFill="accent1" w:themeFillTint="66"/>
        <w:rPr>
          <w:rFonts w:asciiTheme="minorHAnsi" w:hAnsiTheme="minorHAnsi"/>
          <w:b/>
          <w:bCs/>
          <w:szCs w:val="20"/>
        </w:rPr>
      </w:pPr>
      <w:r w:rsidRPr="007D00FA">
        <w:rPr>
          <w:rFonts w:asciiTheme="minorHAnsi" w:hAnsiTheme="minorHAnsi"/>
          <w:b/>
          <w:bCs/>
          <w:szCs w:val="20"/>
        </w:rPr>
        <w:t>Localisation :</w:t>
      </w:r>
    </w:p>
    <w:p w:rsidR="00C9497C" w:rsidRPr="007D00FA" w:rsidRDefault="00C9497C" w:rsidP="00C9497C">
      <w:pPr>
        <w:rPr>
          <w:rFonts w:asciiTheme="minorHAnsi" w:hAnsiTheme="minorHAnsi"/>
          <w:szCs w:val="20"/>
        </w:rPr>
      </w:pPr>
      <w:bookmarkStart w:id="2" w:name="_GoBack"/>
      <w:bookmarkEnd w:id="2"/>
    </w:p>
    <w:p w:rsidR="00C9497C" w:rsidRPr="007D00FA" w:rsidRDefault="00C9497C" w:rsidP="00C9497C">
      <w:pPr>
        <w:rPr>
          <w:rFonts w:asciiTheme="minorHAnsi" w:hAnsiTheme="minorHAnsi"/>
          <w:szCs w:val="20"/>
        </w:rPr>
      </w:pPr>
      <w:r w:rsidRPr="007D00FA">
        <w:rPr>
          <w:rFonts w:asciiTheme="minorHAnsi" w:hAnsiTheme="minorHAnsi"/>
          <w:szCs w:val="20"/>
        </w:rPr>
        <w:t xml:space="preserve">Cette action s’applique aux eaux libres, îles et berges </w:t>
      </w:r>
      <w:proofErr w:type="gramStart"/>
      <w:r w:rsidRPr="007D00FA">
        <w:rPr>
          <w:rFonts w:asciiTheme="minorHAnsi" w:hAnsiTheme="minorHAnsi"/>
          <w:szCs w:val="20"/>
        </w:rPr>
        <w:t>des chenaux principal et secondaires</w:t>
      </w:r>
      <w:proofErr w:type="gramEnd"/>
      <w:r w:rsidRPr="007D00FA">
        <w:rPr>
          <w:rFonts w:asciiTheme="minorHAnsi" w:hAnsiTheme="minorHAnsi"/>
          <w:szCs w:val="20"/>
        </w:rPr>
        <w:t xml:space="preserve"> où stationne l’espèce.</w:t>
      </w:r>
    </w:p>
    <w:p w:rsidR="00C9497C" w:rsidRPr="007D00FA" w:rsidRDefault="00C9497C" w:rsidP="00C9497C">
      <w:pPr>
        <w:rPr>
          <w:rFonts w:asciiTheme="minorHAnsi" w:hAnsiTheme="minorHAnsi"/>
          <w:szCs w:val="20"/>
        </w:rPr>
      </w:pPr>
    </w:p>
    <w:p w:rsidR="00C9497C" w:rsidRPr="007D00FA" w:rsidRDefault="00C9497C" w:rsidP="00C9497C">
      <w:pPr>
        <w:shd w:val="clear" w:color="auto" w:fill="BDD6EE" w:themeFill="accent1" w:themeFillTint="66"/>
        <w:rPr>
          <w:rFonts w:asciiTheme="minorHAnsi" w:hAnsiTheme="minorHAnsi"/>
          <w:b/>
          <w:bCs/>
          <w:szCs w:val="20"/>
        </w:rPr>
      </w:pPr>
      <w:r w:rsidRPr="007D00FA">
        <w:rPr>
          <w:rFonts w:asciiTheme="minorHAnsi" w:hAnsiTheme="minorHAnsi"/>
          <w:b/>
          <w:bCs/>
          <w:szCs w:val="20"/>
        </w:rPr>
        <w:t>Descriptif de l’action:</w:t>
      </w:r>
    </w:p>
    <w:p w:rsidR="00C9497C" w:rsidRPr="007D00FA" w:rsidRDefault="00C9497C" w:rsidP="00C9497C">
      <w:pPr>
        <w:rPr>
          <w:rFonts w:asciiTheme="minorHAnsi" w:hAnsiTheme="minorHAnsi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3053"/>
        <w:gridCol w:w="4809"/>
      </w:tblGrid>
      <w:tr w:rsidR="00C9497C" w:rsidRPr="007D00FA" w:rsidTr="00C55F50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</w:tcBorders>
          </w:tcPr>
          <w:p w:rsidR="00C9497C" w:rsidRPr="007D00FA" w:rsidRDefault="00C9497C" w:rsidP="00294A86">
            <w:pPr>
              <w:ind w:hanging="113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053" w:type="dxa"/>
            <w:shd w:val="clear" w:color="auto" w:fill="BFBFBF" w:themeFill="background1" w:themeFillShade="BF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Le recensement</w:t>
            </w:r>
          </w:p>
        </w:tc>
        <w:tc>
          <w:tcPr>
            <w:tcW w:w="4809" w:type="dxa"/>
            <w:shd w:val="clear" w:color="auto" w:fill="BFBFBF" w:themeFill="background1" w:themeFillShade="BF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Le contrôle</w:t>
            </w:r>
          </w:p>
        </w:tc>
      </w:tr>
      <w:tr w:rsidR="00C9497C" w:rsidRPr="007D00FA" w:rsidTr="00C55F50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497C" w:rsidRPr="007D00FA" w:rsidRDefault="00C9497C" w:rsidP="00C9497C">
            <w:pPr>
              <w:ind w:hanging="113"/>
              <w:rPr>
                <w:rFonts w:asciiTheme="minorHAnsi" w:hAnsiTheme="minorHAnsi"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- Objectif</w:t>
            </w:r>
            <w:r w:rsidRPr="007D00FA">
              <w:rPr>
                <w:rFonts w:asciiTheme="minorHAnsi" w:hAnsiTheme="minorHAnsi"/>
                <w:szCs w:val="20"/>
              </w:rPr>
              <w:t xml:space="preserve"> : </w:t>
            </w:r>
          </w:p>
        </w:tc>
        <w:tc>
          <w:tcPr>
            <w:tcW w:w="3053" w:type="dxa"/>
          </w:tcPr>
          <w:p w:rsidR="00C9497C" w:rsidRPr="007D00FA" w:rsidRDefault="00C55F50" w:rsidP="00C55F50">
            <w:pPr>
              <w:ind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- </w:t>
            </w:r>
            <w:r w:rsidR="00C9497C" w:rsidRPr="007D00FA">
              <w:rPr>
                <w:rFonts w:asciiTheme="minorHAnsi" w:hAnsiTheme="minorHAnsi"/>
                <w:szCs w:val="20"/>
              </w:rPr>
              <w:t>Recenser les effectifs présents en période de reproduction et si possible l’emplacement des nids</w:t>
            </w:r>
          </w:p>
          <w:p w:rsidR="00C9497C" w:rsidRPr="007D00FA" w:rsidRDefault="00C55F50" w:rsidP="00C55F50">
            <w:pPr>
              <w:ind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- </w:t>
            </w:r>
            <w:r w:rsidR="00C9497C" w:rsidRPr="007D00FA">
              <w:rPr>
                <w:rFonts w:asciiTheme="minorHAnsi" w:hAnsiTheme="minorHAnsi"/>
                <w:szCs w:val="20"/>
              </w:rPr>
              <w:t>Préciser la localisation des couples nicheurs et les secteurs de rassemblements  familiaux post nuptiaux</w:t>
            </w:r>
          </w:p>
        </w:tc>
        <w:tc>
          <w:tcPr>
            <w:tcW w:w="4809" w:type="dxa"/>
          </w:tcPr>
          <w:p w:rsidR="00C9497C" w:rsidRPr="007D00FA" w:rsidRDefault="00C9497C" w:rsidP="00294A86">
            <w:pPr>
              <w:ind w:left="322"/>
              <w:rPr>
                <w:rFonts w:asciiTheme="minorHAnsi" w:hAnsiTheme="minorHAnsi"/>
                <w:szCs w:val="20"/>
              </w:rPr>
            </w:pPr>
          </w:p>
          <w:p w:rsidR="00C9497C" w:rsidRPr="007D00FA" w:rsidRDefault="00C9497C" w:rsidP="00294A86">
            <w:pPr>
              <w:ind w:left="322"/>
              <w:rPr>
                <w:rFonts w:asciiTheme="minorHAnsi" w:hAnsiTheme="minorHAnsi"/>
                <w:szCs w:val="20"/>
              </w:rPr>
            </w:pPr>
          </w:p>
          <w:p w:rsidR="00C9497C" w:rsidRPr="007D00FA" w:rsidRDefault="00C9497C" w:rsidP="00294A86">
            <w:pPr>
              <w:numPr>
                <w:ilvl w:val="0"/>
                <w:numId w:val="1"/>
              </w:numPr>
              <w:ind w:left="322"/>
              <w:rPr>
                <w:rFonts w:asciiTheme="minorHAnsi" w:hAnsiTheme="minorHAnsi"/>
                <w:szCs w:val="20"/>
              </w:rPr>
            </w:pPr>
            <w:r w:rsidRPr="007D00FA">
              <w:rPr>
                <w:rFonts w:asciiTheme="minorHAnsi" w:hAnsiTheme="minorHAnsi"/>
                <w:szCs w:val="20"/>
              </w:rPr>
              <w:t>Limiter voir supprimer la population nicheuse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7D00FA">
              <w:rPr>
                <w:rFonts w:asciiTheme="minorHAnsi" w:hAnsiTheme="minorHAnsi"/>
                <w:i/>
                <w:szCs w:val="20"/>
              </w:rPr>
              <w:t>(</w:t>
            </w:r>
            <w:r w:rsidRPr="009C5B6B">
              <w:rPr>
                <w:rFonts w:asciiTheme="minorHAnsi" w:hAnsiTheme="minorHAnsi"/>
                <w:i/>
                <w:strike/>
                <w:szCs w:val="20"/>
              </w:rPr>
              <w:t>tirs,</w:t>
            </w:r>
            <w:r w:rsidRPr="007D00FA">
              <w:rPr>
                <w:rFonts w:asciiTheme="minorHAnsi" w:hAnsiTheme="minorHAnsi"/>
                <w:i/>
                <w:szCs w:val="20"/>
              </w:rPr>
              <w:t xml:space="preserve"> stérilisation des œufs</w:t>
            </w:r>
            <w:r w:rsidR="009C5B6B">
              <w:rPr>
                <w:rFonts w:asciiTheme="minorHAnsi" w:hAnsiTheme="minorHAnsi"/>
                <w:i/>
                <w:szCs w:val="20"/>
              </w:rPr>
              <w:t xml:space="preserve">, </w:t>
            </w:r>
            <w:r w:rsidR="009C5B6B" w:rsidRPr="009C5B6B">
              <w:rPr>
                <w:rFonts w:asciiTheme="minorHAnsi" w:hAnsiTheme="minorHAnsi"/>
                <w:i/>
                <w:color w:val="FF0000"/>
                <w:szCs w:val="20"/>
              </w:rPr>
              <w:t>tir silencieux</w:t>
            </w:r>
            <w:r w:rsidRPr="007D00FA">
              <w:rPr>
                <w:rFonts w:asciiTheme="minorHAnsi" w:hAnsiTheme="minorHAnsi"/>
                <w:i/>
                <w:szCs w:val="20"/>
              </w:rPr>
              <w:t>)</w:t>
            </w:r>
            <w:r w:rsidRPr="007D00FA">
              <w:rPr>
                <w:rFonts w:asciiTheme="minorHAnsi" w:hAnsiTheme="minorHAnsi"/>
                <w:szCs w:val="20"/>
              </w:rPr>
              <w:t xml:space="preserve"> </w:t>
            </w:r>
          </w:p>
          <w:p w:rsidR="00C9497C" w:rsidRPr="009C5B6B" w:rsidRDefault="00C9497C" w:rsidP="00D302CB">
            <w:pPr>
              <w:rPr>
                <w:rFonts w:asciiTheme="minorHAnsi" w:hAnsiTheme="minorHAnsi"/>
                <w:szCs w:val="20"/>
              </w:rPr>
            </w:pPr>
          </w:p>
        </w:tc>
      </w:tr>
      <w:tr w:rsidR="00C9497C" w:rsidRPr="007D00FA" w:rsidTr="00C55F50">
        <w:trPr>
          <w:jc w:val="center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497C" w:rsidRPr="007D00FA" w:rsidRDefault="00C9497C" w:rsidP="00294A86">
            <w:pPr>
              <w:ind w:hanging="113"/>
              <w:rPr>
                <w:rFonts w:asciiTheme="minorHAnsi" w:hAnsiTheme="minorHAnsi" w:cs="Myriad-Tilt"/>
                <w:b/>
                <w:color w:val="000000"/>
                <w:szCs w:val="20"/>
              </w:rPr>
            </w:pPr>
            <w:r w:rsidRPr="007D00FA">
              <w:rPr>
                <w:rFonts w:asciiTheme="minorHAnsi" w:hAnsiTheme="minorHAnsi" w:cs="Myriad-Tilt"/>
                <w:b/>
                <w:color w:val="000000"/>
                <w:szCs w:val="20"/>
              </w:rPr>
              <w:t xml:space="preserve">- Protocole et mode opératoire : </w:t>
            </w:r>
          </w:p>
        </w:tc>
        <w:tc>
          <w:tcPr>
            <w:tcW w:w="3053" w:type="dxa"/>
          </w:tcPr>
          <w:p w:rsidR="00C9497C" w:rsidRPr="00C55F50" w:rsidRDefault="00C9497C" w:rsidP="00C55F50">
            <w:pPr>
              <w:rPr>
                <w:rFonts w:asciiTheme="minorHAnsi" w:hAnsiTheme="minorHAnsi"/>
                <w:i/>
                <w:szCs w:val="20"/>
              </w:rPr>
            </w:pPr>
            <w:r w:rsidRPr="007D00FA">
              <w:rPr>
                <w:rFonts w:asciiTheme="minorHAnsi" w:hAnsiTheme="minorHAnsi"/>
                <w:szCs w:val="20"/>
              </w:rPr>
              <w:t xml:space="preserve">- Prospections nautiques et terrestres pour repérer les territoires des couples nicheurs et les zones de stationnement des groupes familiaux : 3 sorties (à coupler aux missions de terrain du suivi </w:t>
            </w:r>
            <w:r w:rsidRPr="007D00FA">
              <w:rPr>
                <w:rFonts w:asciiTheme="minorHAnsi" w:hAnsiTheme="minorHAnsi"/>
                <w:i/>
                <w:szCs w:val="20"/>
              </w:rPr>
              <w:t>CS 1.0.12</w:t>
            </w:r>
            <w:r w:rsidRPr="007D00FA">
              <w:rPr>
                <w:rFonts w:asciiTheme="minorHAnsi" w:hAnsiTheme="minorHAnsi"/>
                <w:szCs w:val="20"/>
              </w:rPr>
              <w:t xml:space="preserve"> </w:t>
            </w:r>
            <w:r w:rsidR="00C55F50">
              <w:rPr>
                <w:rFonts w:asciiTheme="minorHAnsi" w:hAnsiTheme="minorHAnsi"/>
                <w:i/>
                <w:szCs w:val="20"/>
              </w:rPr>
              <w:t>suivi des oiseaux nicheurs)</w:t>
            </w:r>
          </w:p>
          <w:p w:rsidR="00C9497C" w:rsidRPr="007D00FA" w:rsidRDefault="00C9497C" w:rsidP="00294A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4809" w:type="dxa"/>
          </w:tcPr>
          <w:p w:rsidR="00C9497C" w:rsidRPr="007D00FA" w:rsidRDefault="00475ACD" w:rsidP="00C9497C">
            <w:pPr>
              <w:pStyle w:val="Paragraphedeliste"/>
              <w:numPr>
                <w:ilvl w:val="0"/>
                <w:numId w:val="2"/>
              </w:numPr>
              <w:ind w:left="34" w:hanging="119"/>
              <w:rPr>
                <w:rFonts w:asciiTheme="minorHAnsi" w:hAnsiTheme="minorHAnsi"/>
                <w:i/>
                <w:szCs w:val="20"/>
              </w:rPr>
            </w:pPr>
            <w:r w:rsidRPr="009C5B6B">
              <w:rPr>
                <w:rFonts w:asciiTheme="minorHAnsi" w:hAnsiTheme="minorHAnsi"/>
                <w:b/>
                <w:color w:val="FF0000"/>
                <w:szCs w:val="20"/>
              </w:rPr>
              <w:t>a/</w:t>
            </w:r>
            <w:r w:rsidR="00C9497C" w:rsidRPr="007D00FA">
              <w:rPr>
                <w:rFonts w:asciiTheme="minorHAnsi" w:hAnsiTheme="minorHAnsi"/>
                <w:szCs w:val="20"/>
              </w:rPr>
              <w:t>Définir, avec les services de l’état concernés les éléments techniques, administratifs et juridiques d’une solution adaptée</w:t>
            </w:r>
            <w:r w:rsidR="00C9497C" w:rsidRPr="007D00FA">
              <w:rPr>
                <w:rFonts w:asciiTheme="minorHAnsi" w:hAnsiTheme="minorHAnsi"/>
                <w:i/>
                <w:szCs w:val="20"/>
              </w:rPr>
              <w:t>.</w:t>
            </w:r>
          </w:p>
          <w:p w:rsidR="00C9497C" w:rsidRPr="007D00FA" w:rsidRDefault="00475ACD" w:rsidP="00C9497C">
            <w:pPr>
              <w:pStyle w:val="Paragraphedeliste"/>
              <w:numPr>
                <w:ilvl w:val="0"/>
                <w:numId w:val="2"/>
              </w:numPr>
              <w:ind w:left="34" w:hanging="119"/>
              <w:rPr>
                <w:rFonts w:asciiTheme="minorHAnsi" w:hAnsiTheme="minorHAnsi"/>
                <w:szCs w:val="20"/>
              </w:rPr>
            </w:pPr>
            <w:r w:rsidRPr="009C5B6B">
              <w:rPr>
                <w:rFonts w:asciiTheme="minorHAnsi" w:hAnsiTheme="minorHAnsi"/>
                <w:b/>
                <w:color w:val="FF0000"/>
                <w:szCs w:val="20"/>
              </w:rPr>
              <w:t>b/</w:t>
            </w:r>
            <w:r w:rsidRPr="009C5B6B"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  <w:proofErr w:type="spellStart"/>
            <w:r w:rsidR="00C9497C" w:rsidRPr="007D00FA">
              <w:rPr>
                <w:rFonts w:asciiTheme="minorHAnsi" w:hAnsiTheme="minorHAnsi"/>
                <w:szCs w:val="20"/>
              </w:rPr>
              <w:t>Elaboration</w:t>
            </w:r>
            <w:proofErr w:type="spellEnd"/>
            <w:r w:rsidR="00C9497C" w:rsidRPr="007D00FA">
              <w:rPr>
                <w:rFonts w:asciiTheme="minorHAnsi" w:hAnsiTheme="minorHAnsi"/>
                <w:szCs w:val="20"/>
              </w:rPr>
              <w:t xml:space="preserve"> d’un projet d’arrêté préfectoral d’autorisation de destruction, recueil d’avis, validation et mise en œuvre</w:t>
            </w:r>
          </w:p>
          <w:p w:rsidR="009C5B6B" w:rsidRPr="00C55F50" w:rsidRDefault="00475ACD" w:rsidP="009C5B6B">
            <w:pPr>
              <w:pStyle w:val="Paragraphedeliste"/>
              <w:numPr>
                <w:ilvl w:val="0"/>
                <w:numId w:val="2"/>
              </w:numPr>
              <w:ind w:left="34" w:hanging="119"/>
              <w:rPr>
                <w:rFonts w:asciiTheme="minorHAnsi" w:hAnsiTheme="minorHAnsi"/>
                <w:strike/>
                <w:szCs w:val="20"/>
              </w:rPr>
            </w:pPr>
            <w:r w:rsidRPr="009C5B6B">
              <w:rPr>
                <w:rFonts w:asciiTheme="minorHAnsi" w:hAnsiTheme="minorHAnsi"/>
                <w:b/>
                <w:color w:val="FF0000"/>
                <w:szCs w:val="20"/>
              </w:rPr>
              <w:t>c/</w:t>
            </w:r>
            <w:r w:rsidRPr="009C5B6B"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  <w:r w:rsidR="009C5B6B">
              <w:rPr>
                <w:rFonts w:asciiTheme="minorHAnsi" w:hAnsiTheme="minorHAnsi"/>
                <w:color w:val="FF0000"/>
                <w:szCs w:val="20"/>
              </w:rPr>
              <w:t>la s</w:t>
            </w:r>
            <w:r w:rsidR="009C5B6B" w:rsidRPr="007D00FA">
              <w:rPr>
                <w:rFonts w:asciiTheme="minorHAnsi" w:hAnsiTheme="minorHAnsi"/>
                <w:szCs w:val="20"/>
              </w:rPr>
              <w:t>térilisation des œufs (secouage</w:t>
            </w:r>
            <w:r w:rsidR="009C5B6B">
              <w:rPr>
                <w:rFonts w:asciiTheme="minorHAnsi" w:hAnsiTheme="minorHAnsi"/>
                <w:szCs w:val="20"/>
              </w:rPr>
              <w:t xml:space="preserve"> </w:t>
            </w:r>
            <w:r w:rsidR="009C5B6B">
              <w:rPr>
                <w:rFonts w:asciiTheme="minorHAnsi" w:hAnsiTheme="minorHAnsi"/>
                <w:color w:val="FF0000"/>
                <w:szCs w:val="20"/>
              </w:rPr>
              <w:t>ou perçage</w:t>
            </w:r>
            <w:r w:rsidR="009C5B6B" w:rsidRPr="007D00FA">
              <w:rPr>
                <w:rFonts w:asciiTheme="minorHAnsi" w:hAnsiTheme="minorHAnsi"/>
                <w:szCs w:val="20"/>
              </w:rPr>
              <w:t xml:space="preserve">) </w:t>
            </w:r>
            <w:r w:rsidR="009C5B6B">
              <w:rPr>
                <w:rFonts w:asciiTheme="minorHAnsi" w:hAnsiTheme="minorHAnsi"/>
                <w:szCs w:val="20"/>
              </w:rPr>
              <w:t>sera privilégiée</w:t>
            </w:r>
            <w:r w:rsidR="00C55F50">
              <w:rPr>
                <w:rFonts w:asciiTheme="minorHAnsi" w:hAnsiTheme="minorHAnsi"/>
                <w:szCs w:val="20"/>
              </w:rPr>
              <w:t xml:space="preserve">. </w:t>
            </w:r>
            <w:r w:rsidR="00C55F50" w:rsidRPr="00C55F50">
              <w:rPr>
                <w:rFonts w:asciiTheme="minorHAnsi" w:hAnsiTheme="minorHAnsi"/>
                <w:color w:val="FF0000"/>
                <w:szCs w:val="20"/>
              </w:rPr>
              <w:t>Réalisée par les agents (RN, ONCFS, AFB autorisés</w:t>
            </w:r>
            <w:r w:rsidR="00C55F50" w:rsidRPr="00C55F50">
              <w:rPr>
                <w:rFonts w:asciiTheme="minorHAnsi" w:hAnsiTheme="minorHAnsi"/>
                <w:strike/>
                <w:szCs w:val="20"/>
              </w:rPr>
              <w:t xml:space="preserve">) </w:t>
            </w:r>
            <w:r w:rsidR="009C5B6B" w:rsidRPr="00C55F50">
              <w:rPr>
                <w:rFonts w:asciiTheme="minorHAnsi" w:hAnsiTheme="minorHAnsi"/>
                <w:strike/>
                <w:szCs w:val="20"/>
              </w:rPr>
              <w:t xml:space="preserve"> </w:t>
            </w:r>
            <w:r w:rsidR="009C5B6B" w:rsidRPr="00C55F50">
              <w:rPr>
                <w:rFonts w:asciiTheme="minorHAnsi" w:hAnsiTheme="minorHAnsi"/>
                <w:strike/>
                <w:szCs w:val="20"/>
              </w:rPr>
              <w:t>par les agents de la réserve naturelle</w:t>
            </w:r>
            <w:r w:rsidR="009C5B6B" w:rsidRPr="00C55F50">
              <w:rPr>
                <w:rFonts w:asciiTheme="minorHAnsi" w:hAnsiTheme="minorHAnsi"/>
                <w:strike/>
                <w:szCs w:val="20"/>
              </w:rPr>
              <w:t xml:space="preserve"> </w:t>
            </w:r>
          </w:p>
          <w:p w:rsidR="00C9497C" w:rsidRPr="00C55F50" w:rsidRDefault="00475ACD" w:rsidP="00C55F50">
            <w:pPr>
              <w:pStyle w:val="Paragraphedeliste"/>
              <w:numPr>
                <w:ilvl w:val="0"/>
                <w:numId w:val="2"/>
              </w:numPr>
              <w:ind w:left="34" w:hanging="119"/>
              <w:rPr>
                <w:rFonts w:asciiTheme="minorHAnsi" w:hAnsiTheme="minorHAnsi"/>
                <w:szCs w:val="20"/>
              </w:rPr>
            </w:pPr>
            <w:r w:rsidRPr="009C5B6B">
              <w:rPr>
                <w:rFonts w:asciiTheme="minorHAnsi" w:hAnsiTheme="minorHAnsi"/>
                <w:b/>
                <w:color w:val="FF0000"/>
                <w:szCs w:val="20"/>
              </w:rPr>
              <w:t>d/</w:t>
            </w:r>
            <w:r w:rsidRPr="009C5B6B"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  <w:r w:rsidR="009C5B6B" w:rsidRPr="007D00FA">
              <w:rPr>
                <w:rFonts w:asciiTheme="minorHAnsi" w:hAnsiTheme="minorHAnsi"/>
                <w:szCs w:val="20"/>
              </w:rPr>
              <w:t>Tir silencieux : par les agents de l’ONCFS avec l’assistance du personnel RN</w:t>
            </w:r>
          </w:p>
        </w:tc>
      </w:tr>
    </w:tbl>
    <w:p w:rsidR="00C9497C" w:rsidRPr="007D00FA" w:rsidRDefault="00C9497C" w:rsidP="00C9497C">
      <w:pPr>
        <w:tabs>
          <w:tab w:val="left" w:pos="1379"/>
          <w:tab w:val="left" w:pos="4923"/>
        </w:tabs>
        <w:jc w:val="left"/>
        <w:rPr>
          <w:rFonts w:asciiTheme="minorHAnsi" w:hAnsiTheme="minorHAnsi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4247"/>
      </w:tblGrid>
      <w:tr w:rsidR="00C9497C" w:rsidRPr="007D00FA" w:rsidTr="00294A86">
        <w:trPr>
          <w:jc w:val="center"/>
        </w:trPr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C9497C" w:rsidRPr="007D00FA" w:rsidRDefault="00C9497C" w:rsidP="00294A86">
            <w:pPr>
              <w:ind w:hanging="113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Le recensement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Le contrôle</w:t>
            </w:r>
          </w:p>
        </w:tc>
      </w:tr>
      <w:tr w:rsidR="00C9497C" w:rsidRPr="007D00FA" w:rsidTr="00294A86">
        <w:trPr>
          <w:jc w:val="center"/>
        </w:trPr>
        <w:tc>
          <w:tcPr>
            <w:tcW w:w="12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497C" w:rsidRPr="007D00FA" w:rsidRDefault="00C9497C" w:rsidP="00294A86">
            <w:pPr>
              <w:ind w:hanging="113"/>
              <w:rPr>
                <w:rFonts w:asciiTheme="minorHAnsi" w:hAnsiTheme="minorHAnsi"/>
                <w:szCs w:val="20"/>
              </w:rPr>
            </w:pPr>
            <w:r w:rsidRPr="007D00FA">
              <w:rPr>
                <w:rFonts w:asciiTheme="minorHAnsi" w:hAnsiTheme="minorHAnsi" w:cs="Myriad-Tilt"/>
                <w:b/>
                <w:color w:val="000000"/>
                <w:szCs w:val="20"/>
              </w:rPr>
              <w:t xml:space="preserve">- Période et fréquence : </w:t>
            </w:r>
          </w:p>
        </w:tc>
        <w:tc>
          <w:tcPr>
            <w:tcW w:w="3544" w:type="dxa"/>
          </w:tcPr>
          <w:p w:rsidR="00C9497C" w:rsidRDefault="00C9497C" w:rsidP="00294A86">
            <w:pPr>
              <w:rPr>
                <w:rFonts w:asciiTheme="minorHAnsi" w:hAnsiTheme="minorHAnsi"/>
                <w:szCs w:val="20"/>
              </w:rPr>
            </w:pPr>
            <w:r w:rsidRPr="007D00FA">
              <w:rPr>
                <w:rFonts w:asciiTheme="minorHAnsi" w:hAnsiTheme="minorHAnsi"/>
                <w:szCs w:val="20"/>
              </w:rPr>
              <w:t>- entre avril et juin, annuel si nécessaire sur selon présence avérée de couples ou de rassemblements familiaux post nuptiaux et ensuite à définir selon bilan état population</w:t>
            </w:r>
          </w:p>
          <w:p w:rsidR="00C9497C" w:rsidRDefault="00C9497C" w:rsidP="00294A86">
            <w:pPr>
              <w:rPr>
                <w:rFonts w:asciiTheme="minorHAnsi" w:hAnsiTheme="minorHAnsi"/>
                <w:color w:val="FF0000"/>
                <w:szCs w:val="20"/>
              </w:rPr>
            </w:pPr>
            <w:r w:rsidRPr="00C9497C">
              <w:rPr>
                <w:rFonts w:asciiTheme="minorHAnsi" w:hAnsiTheme="minorHAnsi"/>
                <w:color w:val="FF0000"/>
                <w:szCs w:val="20"/>
              </w:rPr>
              <w:t xml:space="preserve">Remplacé par : </w:t>
            </w:r>
          </w:p>
          <w:p w:rsidR="00C9497C" w:rsidRPr="00D302CB" w:rsidRDefault="00C9497C" w:rsidP="00C9497C">
            <w:pPr>
              <w:rPr>
                <w:rFonts w:asciiTheme="minorHAnsi" w:hAnsiTheme="minorHAnsi"/>
                <w:color w:val="FF0000"/>
                <w:szCs w:val="20"/>
              </w:rPr>
            </w:pPr>
            <w:r w:rsidRPr="00D302CB">
              <w:rPr>
                <w:rFonts w:asciiTheme="minorHAnsi" w:hAnsiTheme="minorHAnsi"/>
                <w:color w:val="FF0000"/>
                <w:szCs w:val="20"/>
              </w:rPr>
              <w:t xml:space="preserve">- </w:t>
            </w:r>
            <w:r w:rsidR="00D302CB">
              <w:rPr>
                <w:rFonts w:asciiTheme="minorHAnsi" w:hAnsiTheme="minorHAnsi"/>
                <w:color w:val="FF0000"/>
                <w:szCs w:val="20"/>
              </w:rPr>
              <w:t xml:space="preserve">Le recensement des couples reproducteurs se fera annuellement </w:t>
            </w:r>
            <w:r w:rsidRPr="00D302CB">
              <w:rPr>
                <w:rFonts w:asciiTheme="minorHAnsi" w:hAnsiTheme="minorHAnsi"/>
                <w:color w:val="FF0000"/>
                <w:szCs w:val="20"/>
              </w:rPr>
              <w:t xml:space="preserve">entre </w:t>
            </w:r>
            <w:r w:rsidR="00D302CB" w:rsidRPr="00D302CB">
              <w:rPr>
                <w:rFonts w:asciiTheme="minorHAnsi" w:hAnsiTheme="minorHAnsi"/>
                <w:color w:val="FF0000"/>
                <w:szCs w:val="20"/>
              </w:rPr>
              <w:t>mi-mars</w:t>
            </w:r>
            <w:r w:rsidRPr="00D302CB">
              <w:rPr>
                <w:rFonts w:asciiTheme="minorHAnsi" w:hAnsiTheme="minorHAnsi"/>
                <w:color w:val="FF0000"/>
                <w:szCs w:val="20"/>
              </w:rPr>
              <w:t xml:space="preserve"> et </w:t>
            </w:r>
            <w:r w:rsidRPr="00D302CB">
              <w:rPr>
                <w:rFonts w:asciiTheme="minorHAnsi" w:hAnsiTheme="minorHAnsi"/>
                <w:color w:val="FF0000"/>
                <w:szCs w:val="20"/>
              </w:rPr>
              <w:t>mi-</w:t>
            </w:r>
            <w:r w:rsidRPr="00D302CB">
              <w:rPr>
                <w:rFonts w:asciiTheme="minorHAnsi" w:hAnsiTheme="minorHAnsi"/>
                <w:color w:val="FF0000"/>
                <w:szCs w:val="20"/>
              </w:rPr>
              <w:t>juin</w:t>
            </w:r>
            <w:r w:rsidR="00D302CB">
              <w:rPr>
                <w:rFonts w:asciiTheme="minorHAnsi" w:hAnsiTheme="minorHAnsi"/>
                <w:color w:val="FF0000"/>
                <w:szCs w:val="20"/>
              </w:rPr>
              <w:t xml:space="preserve"> et celui des stationnements  familiaux et post nuptiaux entre juillet et août.</w:t>
            </w:r>
          </w:p>
          <w:p w:rsidR="00C9497C" w:rsidRDefault="00C9497C" w:rsidP="00C9497C">
            <w:pPr>
              <w:rPr>
                <w:rFonts w:asciiTheme="minorHAnsi" w:hAnsiTheme="minorHAnsi"/>
                <w:szCs w:val="20"/>
              </w:rPr>
            </w:pPr>
          </w:p>
          <w:p w:rsidR="00C9497C" w:rsidRPr="007D00FA" w:rsidRDefault="00C9497C" w:rsidP="00D302CB">
            <w:pPr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4247" w:type="dxa"/>
          </w:tcPr>
          <w:p w:rsidR="00C9497C" w:rsidRPr="007D00FA" w:rsidRDefault="00D302CB" w:rsidP="00294A86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Ponctuel pour </w:t>
            </w:r>
            <w:r w:rsidRPr="00D302CB">
              <w:rPr>
                <w:rFonts w:asciiTheme="minorHAnsi" w:hAnsiTheme="minorHAnsi"/>
                <w:color w:val="FF0000"/>
                <w:szCs w:val="20"/>
              </w:rPr>
              <w:t>la définition</w:t>
            </w:r>
            <w:r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FF0000"/>
                <w:szCs w:val="20"/>
              </w:rPr>
              <w:t>des</w:t>
            </w:r>
            <w:proofErr w:type="spellEnd"/>
            <w:r w:rsidR="00C9497C" w:rsidRPr="00D302CB"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  <w:r w:rsidRPr="00D302CB">
              <w:rPr>
                <w:rFonts w:asciiTheme="minorHAnsi" w:hAnsiTheme="minorHAnsi"/>
                <w:strike/>
                <w:szCs w:val="20"/>
              </w:rPr>
              <w:t>le</w:t>
            </w:r>
            <w:r>
              <w:rPr>
                <w:rFonts w:asciiTheme="minorHAnsi" w:hAnsiTheme="minorHAnsi"/>
                <w:szCs w:val="20"/>
              </w:rPr>
              <w:t xml:space="preserve">s </w:t>
            </w:r>
            <w:r w:rsidR="00C9497C" w:rsidRPr="007D00FA">
              <w:rPr>
                <w:rFonts w:asciiTheme="minorHAnsi" w:hAnsiTheme="minorHAnsi"/>
                <w:szCs w:val="20"/>
              </w:rPr>
              <w:t>cadre</w:t>
            </w:r>
            <w:r>
              <w:rPr>
                <w:rFonts w:asciiTheme="minorHAnsi" w:hAnsiTheme="minorHAnsi"/>
                <w:szCs w:val="20"/>
              </w:rPr>
              <w:t>s</w:t>
            </w:r>
            <w:r w:rsidR="00C9497C" w:rsidRPr="007D00FA">
              <w:rPr>
                <w:rFonts w:asciiTheme="minorHAnsi" w:hAnsiTheme="minorHAnsi"/>
                <w:szCs w:val="20"/>
              </w:rPr>
              <w:t xml:space="preserve"> administratif et juridique</w:t>
            </w:r>
            <w:r w:rsidR="00475ACD">
              <w:rPr>
                <w:rFonts w:asciiTheme="minorHAnsi" w:hAnsiTheme="minorHAnsi"/>
                <w:szCs w:val="20"/>
              </w:rPr>
              <w:t xml:space="preserve"> (</w:t>
            </w:r>
            <w:r w:rsidR="00475ACD" w:rsidRPr="00475ACD">
              <w:rPr>
                <w:rFonts w:asciiTheme="minorHAnsi" w:hAnsiTheme="minorHAnsi"/>
                <w:b/>
                <w:szCs w:val="20"/>
              </w:rPr>
              <w:t>a/</w:t>
            </w:r>
            <w:r w:rsidR="00475ACD">
              <w:rPr>
                <w:rFonts w:asciiTheme="minorHAnsi" w:hAnsiTheme="minorHAnsi"/>
                <w:szCs w:val="20"/>
              </w:rPr>
              <w:t xml:space="preserve"> et </w:t>
            </w:r>
            <w:r w:rsidR="00475ACD" w:rsidRPr="00475ACD">
              <w:rPr>
                <w:rFonts w:asciiTheme="minorHAnsi" w:hAnsiTheme="minorHAnsi"/>
                <w:b/>
                <w:szCs w:val="20"/>
              </w:rPr>
              <w:t>b/</w:t>
            </w:r>
            <w:r w:rsidR="00475ACD">
              <w:rPr>
                <w:rFonts w:asciiTheme="minorHAnsi" w:hAnsiTheme="minorHAnsi"/>
                <w:szCs w:val="20"/>
              </w:rPr>
              <w:t>)</w:t>
            </w:r>
            <w:r w:rsidR="00C9497C" w:rsidRPr="007D00FA">
              <w:rPr>
                <w:rFonts w:asciiTheme="minorHAnsi" w:hAnsiTheme="minorHAnsi"/>
                <w:szCs w:val="20"/>
              </w:rPr>
              <w:t>.</w:t>
            </w:r>
          </w:p>
          <w:p w:rsidR="00D302CB" w:rsidRDefault="00C9497C" w:rsidP="00294A86">
            <w:pPr>
              <w:rPr>
                <w:rFonts w:asciiTheme="minorHAnsi" w:hAnsiTheme="minorHAnsi"/>
                <w:szCs w:val="20"/>
              </w:rPr>
            </w:pPr>
            <w:r w:rsidRPr="007D00FA">
              <w:rPr>
                <w:rFonts w:asciiTheme="minorHAnsi" w:hAnsiTheme="minorHAnsi"/>
                <w:szCs w:val="20"/>
              </w:rPr>
              <w:t>Tirs et/ou stérilisation œufs : idem au volet recensement</w:t>
            </w:r>
            <w:r w:rsidR="00475ACD">
              <w:rPr>
                <w:rFonts w:asciiTheme="minorHAnsi" w:hAnsiTheme="minorHAnsi"/>
                <w:szCs w:val="20"/>
              </w:rPr>
              <w:t xml:space="preserve"> : </w:t>
            </w:r>
            <w:r w:rsidRPr="007D00FA">
              <w:rPr>
                <w:rFonts w:asciiTheme="minorHAnsi" w:hAnsiTheme="minorHAnsi"/>
                <w:szCs w:val="20"/>
              </w:rPr>
              <w:t xml:space="preserve"> </w:t>
            </w:r>
          </w:p>
          <w:p w:rsidR="009C5B6B" w:rsidRDefault="009C5B6B" w:rsidP="009C5B6B">
            <w:pPr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color w:val="FF0000"/>
                <w:szCs w:val="20"/>
              </w:rPr>
              <w:t xml:space="preserve">c/ La stérilisation des œufs sera </w:t>
            </w:r>
            <w:r w:rsidR="00C55F50">
              <w:rPr>
                <w:rFonts w:asciiTheme="minorHAnsi" w:hAnsiTheme="minorHAnsi"/>
                <w:color w:val="FF0000"/>
                <w:szCs w:val="20"/>
              </w:rPr>
              <w:t>réalisée</w:t>
            </w:r>
            <w:r>
              <w:rPr>
                <w:rFonts w:asciiTheme="minorHAnsi" w:hAnsiTheme="minorHAnsi"/>
                <w:color w:val="FF0000"/>
                <w:szCs w:val="20"/>
              </w:rPr>
              <w:t xml:space="preserve"> en début de saison de nidification pour les couples dont le nid aura été repéré. </w:t>
            </w:r>
          </w:p>
          <w:p w:rsidR="00C9497C" w:rsidRDefault="009C5B6B" w:rsidP="00D302CB">
            <w:pPr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color w:val="FF0000"/>
                <w:szCs w:val="20"/>
              </w:rPr>
              <w:t>d</w:t>
            </w:r>
            <w:r w:rsidR="00475ACD">
              <w:rPr>
                <w:rFonts w:asciiTheme="minorHAnsi" w:hAnsiTheme="minorHAnsi"/>
                <w:color w:val="FF0000"/>
                <w:szCs w:val="20"/>
              </w:rPr>
              <w:t xml:space="preserve">/ </w:t>
            </w:r>
            <w:r w:rsidR="00D302CB">
              <w:rPr>
                <w:rFonts w:asciiTheme="minorHAnsi" w:hAnsiTheme="minorHAnsi"/>
                <w:color w:val="FF0000"/>
                <w:szCs w:val="20"/>
              </w:rPr>
              <w:t>Le tir silencieux sera</w:t>
            </w:r>
            <w:r w:rsidR="00D302CB"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  <w:r w:rsidR="00475ACD">
              <w:rPr>
                <w:rFonts w:asciiTheme="minorHAnsi" w:hAnsiTheme="minorHAnsi"/>
                <w:color w:val="FF0000"/>
                <w:szCs w:val="20"/>
              </w:rPr>
              <w:t>effectué préférentiellement</w:t>
            </w:r>
            <w:r w:rsidR="00D302CB">
              <w:rPr>
                <w:rFonts w:asciiTheme="minorHAnsi" w:hAnsiTheme="minorHAnsi"/>
                <w:color w:val="FF0000"/>
                <w:szCs w:val="20"/>
              </w:rPr>
              <w:t xml:space="preserve"> sur les zones de rassemblements familiaux et post nuptial pendant la mue</w:t>
            </w:r>
            <w:r w:rsidR="00475ACD">
              <w:rPr>
                <w:rFonts w:asciiTheme="minorHAnsi" w:hAnsiTheme="minorHAnsi"/>
                <w:color w:val="FF0000"/>
                <w:szCs w:val="20"/>
              </w:rPr>
              <w:t>.</w:t>
            </w:r>
            <w:r w:rsidR="00D302CB">
              <w:rPr>
                <w:rFonts w:asciiTheme="minorHAnsi" w:hAnsiTheme="minorHAnsi"/>
                <w:color w:val="FF0000"/>
                <w:szCs w:val="20"/>
              </w:rPr>
              <w:t xml:space="preserve"> </w:t>
            </w:r>
          </w:p>
          <w:p w:rsidR="00475ACD" w:rsidRPr="007D00FA" w:rsidRDefault="00475ACD" w:rsidP="009C5B6B">
            <w:pPr>
              <w:rPr>
                <w:rFonts w:asciiTheme="minorHAnsi" w:hAnsiTheme="minorHAnsi"/>
                <w:szCs w:val="20"/>
              </w:rPr>
            </w:pPr>
          </w:p>
        </w:tc>
      </w:tr>
    </w:tbl>
    <w:p w:rsidR="00C9497C" w:rsidRPr="007D00FA" w:rsidRDefault="00C9497C" w:rsidP="00C9497C">
      <w:pPr>
        <w:ind w:left="1212"/>
        <w:rPr>
          <w:rFonts w:asciiTheme="minorHAnsi" w:hAnsiTheme="minorHAnsi"/>
          <w:szCs w:val="20"/>
        </w:rPr>
      </w:pPr>
    </w:p>
    <w:p w:rsidR="00C9497C" w:rsidRPr="007D00FA" w:rsidRDefault="00C9497C" w:rsidP="00C9497C">
      <w:pPr>
        <w:shd w:val="clear" w:color="auto" w:fill="BDD6EE" w:themeFill="accent1" w:themeFillTint="66"/>
        <w:rPr>
          <w:rFonts w:asciiTheme="minorHAnsi" w:hAnsiTheme="minorHAnsi"/>
          <w:b/>
          <w:bCs/>
          <w:szCs w:val="20"/>
        </w:rPr>
      </w:pPr>
      <w:r w:rsidRPr="007D00FA">
        <w:rPr>
          <w:rFonts w:asciiTheme="minorHAnsi" w:hAnsiTheme="minorHAnsi"/>
          <w:b/>
          <w:bCs/>
          <w:szCs w:val="20"/>
        </w:rPr>
        <w:t>Réalisation projetée :</w:t>
      </w:r>
    </w:p>
    <w:p w:rsidR="00C9497C" w:rsidRPr="007D00FA" w:rsidRDefault="00C9497C" w:rsidP="00C9497C">
      <w:pPr>
        <w:rPr>
          <w:rFonts w:asciiTheme="minorHAnsi" w:hAnsiTheme="minorHAnsi"/>
          <w:bCs/>
          <w:szCs w:val="20"/>
        </w:rPr>
      </w:pPr>
    </w:p>
    <w:p w:rsidR="00C9497C" w:rsidRPr="007D00FA" w:rsidRDefault="00C9497C" w:rsidP="00C9497C">
      <w:pPr>
        <w:rPr>
          <w:rFonts w:asciiTheme="minorHAnsi" w:hAnsiTheme="minorHAnsi"/>
          <w:szCs w:val="20"/>
        </w:rPr>
      </w:pPr>
      <w:r w:rsidRPr="007D00FA">
        <w:rPr>
          <w:rFonts w:asciiTheme="minorHAnsi" w:hAnsiTheme="minorHAnsi"/>
          <w:bCs/>
          <w:szCs w:val="20"/>
        </w:rPr>
        <w:t>Maîtres d'œuvre : gestionnaires de RNVL, services de l’état (concernés DREAL, DDT), ON</w:t>
      </w:r>
      <w:r w:rsidRPr="007D00FA">
        <w:rPr>
          <w:rFonts w:asciiTheme="minorHAnsi" w:hAnsiTheme="minorHAnsi"/>
          <w:szCs w:val="20"/>
        </w:rPr>
        <w:t>CFS</w:t>
      </w:r>
    </w:p>
    <w:p w:rsidR="00C9497C" w:rsidRPr="007D00FA" w:rsidRDefault="00C9497C" w:rsidP="00C9497C">
      <w:pPr>
        <w:rPr>
          <w:rFonts w:asciiTheme="minorHAnsi" w:hAnsiTheme="minorHAnsi"/>
          <w:szCs w:val="20"/>
        </w:rPr>
      </w:pPr>
    </w:p>
    <w:p w:rsidR="00C9497C" w:rsidRPr="007D00FA" w:rsidRDefault="00C9497C" w:rsidP="00C9497C">
      <w:pPr>
        <w:shd w:val="clear" w:color="auto" w:fill="BDD6EE" w:themeFill="accent1" w:themeFillTint="66"/>
        <w:rPr>
          <w:rFonts w:asciiTheme="minorHAnsi" w:hAnsiTheme="minorHAnsi"/>
          <w:b/>
          <w:bCs/>
          <w:szCs w:val="20"/>
        </w:rPr>
      </w:pPr>
      <w:r w:rsidRPr="007D00FA">
        <w:rPr>
          <w:rFonts w:asciiTheme="minorHAnsi" w:hAnsiTheme="minorHAnsi"/>
          <w:b/>
          <w:bCs/>
          <w:szCs w:val="20"/>
        </w:rPr>
        <w:t>Calendrier :</w:t>
      </w:r>
    </w:p>
    <w:p w:rsidR="00C9497C" w:rsidRPr="007D00FA" w:rsidRDefault="00C9497C" w:rsidP="00C9497C">
      <w:pPr>
        <w:rPr>
          <w:rFonts w:asciiTheme="minorHAnsi" w:hAnsiTheme="minorHAnsi"/>
          <w:b/>
          <w:bCs/>
          <w:szCs w:val="20"/>
        </w:rPr>
      </w:pP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84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C9497C" w:rsidRPr="007D00FA" w:rsidTr="00294A86">
        <w:trPr>
          <w:jc w:val="center"/>
        </w:trPr>
        <w:tc>
          <w:tcPr>
            <w:tcW w:w="846" w:type="dxa"/>
          </w:tcPr>
          <w:p w:rsidR="00C9497C" w:rsidRPr="007D00FA" w:rsidRDefault="00C9497C" w:rsidP="00294A86">
            <w:pPr>
              <w:ind w:firstLine="0"/>
              <w:jc w:val="right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2017</w:t>
            </w:r>
          </w:p>
        </w:tc>
        <w:tc>
          <w:tcPr>
            <w:tcW w:w="850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2018</w:t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2019</w:t>
            </w:r>
          </w:p>
        </w:tc>
        <w:tc>
          <w:tcPr>
            <w:tcW w:w="850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2020</w:t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2021</w:t>
            </w:r>
          </w:p>
        </w:tc>
        <w:tc>
          <w:tcPr>
            <w:tcW w:w="850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2022</w:t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2023</w:t>
            </w:r>
          </w:p>
        </w:tc>
        <w:tc>
          <w:tcPr>
            <w:tcW w:w="850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2024</w:t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2025</w:t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7D00FA">
              <w:rPr>
                <w:rFonts w:asciiTheme="minorHAnsi" w:hAnsiTheme="minorHAnsi"/>
                <w:b/>
                <w:szCs w:val="20"/>
              </w:rPr>
              <w:t>2026</w:t>
            </w:r>
          </w:p>
        </w:tc>
      </w:tr>
      <w:tr w:rsidR="00C9497C" w:rsidRPr="007D00FA" w:rsidTr="00294A86">
        <w:trPr>
          <w:jc w:val="center"/>
        </w:trPr>
        <w:tc>
          <w:tcPr>
            <w:tcW w:w="846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Cs/>
                <w:szCs w:val="20"/>
              </w:rPr>
            </w:pPr>
            <w:r w:rsidRPr="007D00FA">
              <w:rPr>
                <w:rFonts w:asciiTheme="minorHAnsi" w:hAnsiTheme="minorHAnsi"/>
                <w:b/>
                <w:bCs/>
                <w:szCs w:val="20"/>
              </w:rPr>
              <w:sym w:font="Wingdings" w:char="F0FC"/>
            </w:r>
          </w:p>
        </w:tc>
        <w:tc>
          <w:tcPr>
            <w:tcW w:w="850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szCs w:val="20"/>
              </w:rPr>
            </w:pPr>
            <w:r w:rsidRPr="007D00FA">
              <w:rPr>
                <w:rFonts w:asciiTheme="minorHAnsi" w:hAnsiTheme="minorHAnsi"/>
                <w:b/>
                <w:bCs/>
                <w:szCs w:val="20"/>
              </w:rPr>
              <w:sym w:font="Wingdings" w:char="F0FC"/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szCs w:val="20"/>
              </w:rPr>
            </w:pPr>
            <w:r w:rsidRPr="007D00FA">
              <w:rPr>
                <w:rFonts w:asciiTheme="minorHAnsi" w:hAnsiTheme="minorHAnsi"/>
                <w:b/>
                <w:bCs/>
                <w:szCs w:val="20"/>
              </w:rPr>
              <w:sym w:font="Wingdings" w:char="F0FC"/>
            </w:r>
          </w:p>
        </w:tc>
        <w:tc>
          <w:tcPr>
            <w:tcW w:w="850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7D00FA">
              <w:rPr>
                <w:rFonts w:asciiTheme="minorHAnsi" w:hAnsiTheme="minorHAnsi"/>
                <w:b/>
                <w:bCs/>
                <w:szCs w:val="20"/>
              </w:rPr>
              <w:sym w:font="Wingdings" w:char="F0FC"/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  <w:bCs/>
                <w:szCs w:val="20"/>
              </w:rPr>
            </w:pPr>
            <w:r w:rsidRPr="007D00FA">
              <w:rPr>
                <w:rFonts w:asciiTheme="minorHAnsi" w:hAnsiTheme="minorHAnsi"/>
                <w:bCs/>
                <w:szCs w:val="20"/>
              </w:rPr>
              <w:sym w:font="Wingdings" w:char="F0FC"/>
            </w:r>
            <w:r w:rsidRPr="007D00FA">
              <w:rPr>
                <w:rFonts w:asciiTheme="minorHAnsi" w:hAnsiTheme="minorHAnsi"/>
                <w:bCs/>
                <w:szCs w:val="20"/>
              </w:rPr>
              <w:t> ?</w:t>
            </w:r>
          </w:p>
        </w:tc>
        <w:tc>
          <w:tcPr>
            <w:tcW w:w="850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</w:rPr>
            </w:pPr>
            <w:r w:rsidRPr="007D00FA">
              <w:rPr>
                <w:rFonts w:asciiTheme="minorHAnsi" w:hAnsiTheme="minorHAnsi"/>
                <w:bCs/>
                <w:szCs w:val="20"/>
              </w:rPr>
              <w:sym w:font="Wingdings" w:char="F0FC"/>
            </w:r>
            <w:r w:rsidRPr="007D00FA">
              <w:rPr>
                <w:rFonts w:asciiTheme="minorHAnsi" w:hAnsiTheme="minorHAnsi"/>
                <w:bCs/>
                <w:szCs w:val="20"/>
              </w:rPr>
              <w:t> ?</w:t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</w:rPr>
            </w:pPr>
            <w:r w:rsidRPr="007D00FA">
              <w:rPr>
                <w:rFonts w:asciiTheme="minorHAnsi" w:hAnsiTheme="minorHAnsi"/>
                <w:bCs/>
                <w:szCs w:val="20"/>
              </w:rPr>
              <w:sym w:font="Wingdings" w:char="F0FC"/>
            </w:r>
            <w:r w:rsidRPr="007D00FA">
              <w:rPr>
                <w:rFonts w:asciiTheme="minorHAnsi" w:hAnsiTheme="minorHAnsi"/>
                <w:bCs/>
                <w:szCs w:val="20"/>
              </w:rPr>
              <w:t> ?</w:t>
            </w:r>
          </w:p>
        </w:tc>
        <w:tc>
          <w:tcPr>
            <w:tcW w:w="850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</w:rPr>
            </w:pPr>
            <w:r w:rsidRPr="007D00FA">
              <w:rPr>
                <w:rFonts w:asciiTheme="minorHAnsi" w:hAnsiTheme="minorHAnsi"/>
                <w:bCs/>
                <w:szCs w:val="20"/>
              </w:rPr>
              <w:sym w:font="Wingdings" w:char="F0FC"/>
            </w:r>
            <w:r w:rsidRPr="007D00FA">
              <w:rPr>
                <w:rFonts w:asciiTheme="minorHAnsi" w:hAnsiTheme="minorHAnsi"/>
                <w:bCs/>
                <w:szCs w:val="20"/>
              </w:rPr>
              <w:t> ?</w:t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</w:rPr>
            </w:pPr>
            <w:r w:rsidRPr="007D00FA">
              <w:rPr>
                <w:rFonts w:asciiTheme="minorHAnsi" w:hAnsiTheme="minorHAnsi"/>
                <w:bCs/>
                <w:szCs w:val="20"/>
              </w:rPr>
              <w:sym w:font="Wingdings" w:char="F0FC"/>
            </w:r>
            <w:r w:rsidRPr="007D00FA">
              <w:rPr>
                <w:rFonts w:asciiTheme="minorHAnsi" w:hAnsiTheme="minorHAnsi"/>
                <w:bCs/>
                <w:szCs w:val="20"/>
              </w:rPr>
              <w:t> ?</w:t>
            </w:r>
          </w:p>
        </w:tc>
        <w:tc>
          <w:tcPr>
            <w:tcW w:w="851" w:type="dxa"/>
          </w:tcPr>
          <w:p w:rsidR="00C9497C" w:rsidRPr="007D00FA" w:rsidRDefault="00C9497C" w:rsidP="00294A86">
            <w:pPr>
              <w:jc w:val="center"/>
              <w:rPr>
                <w:rFonts w:asciiTheme="minorHAnsi" w:hAnsiTheme="minorHAnsi"/>
              </w:rPr>
            </w:pPr>
            <w:r w:rsidRPr="007D00FA">
              <w:rPr>
                <w:rFonts w:asciiTheme="minorHAnsi" w:hAnsiTheme="minorHAnsi"/>
                <w:bCs/>
                <w:szCs w:val="20"/>
              </w:rPr>
              <w:sym w:font="Wingdings" w:char="F0FC"/>
            </w:r>
            <w:r w:rsidRPr="007D00FA">
              <w:rPr>
                <w:rFonts w:asciiTheme="minorHAnsi" w:hAnsiTheme="minorHAnsi"/>
                <w:bCs/>
                <w:szCs w:val="20"/>
              </w:rPr>
              <w:t> ?</w:t>
            </w:r>
          </w:p>
        </w:tc>
      </w:tr>
    </w:tbl>
    <w:p w:rsidR="00C9497C" w:rsidRPr="007D00FA" w:rsidRDefault="00C9497C" w:rsidP="00C9497C">
      <w:pPr>
        <w:rPr>
          <w:rFonts w:asciiTheme="minorHAnsi" w:hAnsiTheme="minorHAnsi"/>
          <w:szCs w:val="20"/>
        </w:rPr>
      </w:pPr>
    </w:p>
    <w:p w:rsidR="00C9497C" w:rsidRPr="007D00FA" w:rsidRDefault="00C9497C" w:rsidP="00C9497C">
      <w:pPr>
        <w:shd w:val="clear" w:color="auto" w:fill="BDD6EE" w:themeFill="accent1" w:themeFillTint="66"/>
        <w:rPr>
          <w:rFonts w:asciiTheme="minorHAnsi" w:hAnsiTheme="minorHAnsi"/>
          <w:b/>
          <w:bCs/>
          <w:szCs w:val="20"/>
        </w:rPr>
      </w:pPr>
      <w:r w:rsidRPr="007D00FA">
        <w:rPr>
          <w:rFonts w:asciiTheme="minorHAnsi" w:hAnsiTheme="minorHAnsi"/>
          <w:b/>
          <w:bCs/>
          <w:szCs w:val="20"/>
        </w:rPr>
        <w:t>Budget estimé (sur les cinq premières années) :</w:t>
      </w:r>
    </w:p>
    <w:p w:rsidR="00C9497C" w:rsidRPr="007D00FA" w:rsidRDefault="00C9497C" w:rsidP="00C9497C">
      <w:pPr>
        <w:rPr>
          <w:rFonts w:asciiTheme="minorHAnsi" w:hAnsiTheme="minorHAnsi"/>
          <w:szCs w:val="20"/>
        </w:rPr>
      </w:pPr>
    </w:p>
    <w:p w:rsidR="00C9497C" w:rsidRPr="007D00FA" w:rsidRDefault="00C9497C" w:rsidP="00C9497C">
      <w:pPr>
        <w:ind w:firstLine="0"/>
        <w:rPr>
          <w:rFonts w:asciiTheme="minorHAnsi" w:hAnsiTheme="minorHAnsi"/>
          <w:szCs w:val="20"/>
        </w:rPr>
      </w:pPr>
      <w:r w:rsidRPr="004B273A">
        <w:rPr>
          <w:noProof/>
        </w:rPr>
        <w:drawing>
          <wp:inline distT="0" distB="0" distL="0" distR="0" wp14:anchorId="369D3481" wp14:editId="47F419AC">
            <wp:extent cx="5760720" cy="2497730"/>
            <wp:effectExtent l="0" t="0" r="0" b="0"/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7C" w:rsidRPr="007D00FA" w:rsidRDefault="00C9497C" w:rsidP="00C9497C">
      <w:pPr>
        <w:rPr>
          <w:rFonts w:asciiTheme="minorHAnsi" w:hAnsiTheme="minorHAnsi"/>
          <w:szCs w:val="20"/>
        </w:rPr>
      </w:pPr>
    </w:p>
    <w:p w:rsidR="00D03FE7" w:rsidRPr="00C9497C" w:rsidRDefault="00C55F50" w:rsidP="00C9497C">
      <w:pPr>
        <w:ind w:firstLine="0"/>
        <w:rPr>
          <w:rFonts w:asciiTheme="minorHAnsi" w:hAnsiTheme="minorHAnsi"/>
        </w:rPr>
      </w:pPr>
    </w:p>
    <w:sectPr w:rsidR="00D03FE7" w:rsidRPr="00C9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-Ti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7F9F"/>
    <w:multiLevelType w:val="hybridMultilevel"/>
    <w:tmpl w:val="169CA95E"/>
    <w:lvl w:ilvl="0" w:tplc="7892D93E">
      <w:start w:val="2"/>
      <w:numFmt w:val="bullet"/>
      <w:lvlText w:val=""/>
      <w:lvlJc w:val="left"/>
      <w:pPr>
        <w:ind w:left="1353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7B304818">
      <w:start w:val="3000"/>
      <w:numFmt w:val="bullet"/>
      <w:lvlText w:val="-"/>
      <w:lvlJc w:val="left"/>
      <w:pPr>
        <w:ind w:left="2505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BF64AF"/>
    <w:multiLevelType w:val="hybridMultilevel"/>
    <w:tmpl w:val="F8AA2012"/>
    <w:lvl w:ilvl="0" w:tplc="429A8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C"/>
    <w:rsid w:val="00441884"/>
    <w:rsid w:val="00475ACD"/>
    <w:rsid w:val="006B7510"/>
    <w:rsid w:val="009C5B6B"/>
    <w:rsid w:val="00C55F50"/>
    <w:rsid w:val="00C9497C"/>
    <w:rsid w:val="00D302CB"/>
    <w:rsid w:val="00E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9355-7234-44F1-9D48-2134EB6B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97C"/>
    <w:pPr>
      <w:spacing w:after="0" w:line="240" w:lineRule="auto"/>
      <w:ind w:firstLine="227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497C"/>
    <w:pPr>
      <w:keepNext/>
      <w:keepLines/>
      <w:spacing w:before="40"/>
      <w:ind w:firstLine="0"/>
      <w:jc w:val="center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9497C"/>
    <w:rPr>
      <w:rFonts w:asciiTheme="majorHAnsi" w:eastAsiaTheme="majorEastAsia" w:hAnsiTheme="majorHAnsi" w:cstheme="majorBidi"/>
      <w:b/>
      <w:color w:val="1F4D78" w:themeColor="accent1" w:themeShade="7F"/>
      <w:lang w:eastAsia="fr-FR"/>
    </w:rPr>
  </w:style>
  <w:style w:type="paragraph" w:styleId="Paragraphedeliste">
    <w:name w:val="List Paragraph"/>
    <w:basedOn w:val="Normal"/>
    <w:uiPriority w:val="34"/>
    <w:qFormat/>
    <w:rsid w:val="00C949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49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497C"/>
    <w:rPr>
      <w:rFonts w:ascii="Verdana" w:eastAsia="Times New Roman" w:hAnsi="Verdana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9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97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RNVL</dc:creator>
  <cp:keywords/>
  <dc:description/>
  <cp:lastModifiedBy>Accueil RNVL</cp:lastModifiedBy>
  <cp:revision>2</cp:revision>
  <dcterms:created xsi:type="dcterms:W3CDTF">2017-12-04T13:58:00Z</dcterms:created>
  <dcterms:modified xsi:type="dcterms:W3CDTF">2017-12-04T14:41:00Z</dcterms:modified>
</cp:coreProperties>
</file>