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170"/>
          <w:left w:type="dxa" w:w="98"/>
          <w:bottom w:type="dxa" w:w="170"/>
          <w:right w:type="dxa" w:w="108"/>
        </w:tblCellMar>
      </w:tblPr>
      <w:tblGrid>
        <w:gridCol w:w="9349"/>
      </w:tblGrid>
      <w:tr>
        <w:trPr>
          <w:cantSplit w:val="false"/>
        </w:trPr>
        <w:tc>
          <w:tcPr>
            <w:tcW w:type="dxa" w:w="9349"/>
            <w:gridSpan w:val="2"/>
            <w:tcBorders>
              <w:top w:color="00000A" w:space="0" w:sz="4" w:val="single"/>
              <w:left w:color="00000A" w:space="0" w:sz="4" w:val="single"/>
              <w:bottom w:color="00000A" w:space="0" w:sz="4" w:val="single"/>
              <w:right w:color="00000A" w:space="0" w:sz="4" w:val="single"/>
            </w:tcBorders>
            <w:shd w:fill="FFCCFF" w:val="clear"/>
            <w:tcMar>
              <w:left w:type="dxa" w:w="98"/>
            </w:tcMar>
          </w:tcPr>
          <w:p>
            <w:pPr>
              <w:pStyle w:val="style0"/>
              <w:tabs>
                <w:tab w:leader="none" w:pos="2628" w:val="left"/>
                <w:tab w:leader="none" w:pos="5508" w:val="left"/>
                <w:tab w:leader="none" w:pos="7488" w:val="left"/>
                <w:tab w:leader="none" w:pos="10908" w:val="left"/>
              </w:tabs>
              <w:rPr>
                <w:rFonts w:ascii="Calibri" w:hAnsi="Calibri"/>
                <w:i/>
                <w:sz w:val="20"/>
                <w:szCs w:val="20"/>
              </w:rPr>
            </w:pPr>
            <w:r>
              <w:rPr>
                <w:rFonts w:ascii="Calibri" w:hAnsi="Calibri"/>
                <w:i/>
                <w:sz w:val="20"/>
                <w:szCs w:val="20"/>
              </w:rPr>
              <w:t>OLT5 RENFORCER L'ANCRAGE LOCAL DE LA RN</w:t>
            </w:r>
          </w:p>
          <w:p>
            <w:pPr>
              <w:pStyle w:val="style0"/>
              <w:tabs>
                <w:tab w:leader="none" w:pos="3224" w:val="left"/>
                <w:tab w:leader="none" w:pos="6104" w:val="left"/>
                <w:tab w:leader="none" w:pos="8084" w:val="left"/>
                <w:tab w:leader="none" w:pos="11504" w:val="left"/>
              </w:tabs>
              <w:spacing w:after="113" w:before="0"/>
              <w:ind w:firstLine="227" w:left="596" w:right="0"/>
              <w:contextualSpacing w:val="false"/>
              <w:rPr>
                <w:rFonts w:ascii="Calibri" w:hAnsi="Calibri"/>
                <w:i/>
                <w:sz w:val="20"/>
                <w:szCs w:val="20"/>
              </w:rPr>
            </w:pPr>
            <w:r>
              <w:rPr>
                <w:rFonts w:ascii="Calibri" w:hAnsi="Calibri"/>
                <w:i/>
                <w:sz w:val="20"/>
                <w:szCs w:val="20"/>
              </w:rPr>
              <w:t>O.P 5.4 Faire évoluer les activités et usages vers des pratiques compatibles avec les enjeux de la RN</w:t>
            </w:r>
          </w:p>
        </w:tc>
      </w:tr>
      <w:tr>
        <w:trPr>
          <w:cantSplit w:val="false"/>
        </w:trPr>
        <w:tc>
          <w:tcPr>
            <w:tcW w:type="dxa" w:w="4674"/>
            <w:tcBorders>
              <w:top w:color="00000A" w:space="0" w:sz="4" w:val="single"/>
              <w:left w:color="00000A" w:space="0" w:sz="4" w:val="single"/>
              <w:bottom w:color="00000A" w:space="0" w:sz="4" w:val="single"/>
              <w:right w:color="00000A" w:space="0" w:sz="4" w:val="single"/>
            </w:tcBorders>
            <w:shd w:fill="FFCCFF" w:val="clear"/>
            <w:tcMar>
              <w:left w:type="dxa" w:w="98"/>
            </w:tcMar>
          </w:tcPr>
          <w:p>
            <w:pPr>
              <w:pStyle w:val="style3"/>
              <w:keepNext/>
              <w:keepLines/>
              <w:spacing w:after="0" w:before="40"/>
              <w:ind w:hanging="0" w:left="0" w:right="0"/>
              <w:contextualSpacing w:val="false"/>
              <w:jc w:val="center"/>
              <w:rPr>
                <w:rFonts w:ascii="Calibri" w:hAnsi="Calibri"/>
              </w:rPr>
            </w:pPr>
            <w:bookmarkStart w:id="0" w:name="_Toc496099238"/>
            <w:bookmarkEnd w:id="0"/>
            <w:r>
              <w:rPr>
                <w:rFonts w:ascii="Calibri" w:hAnsi="Calibri"/>
              </w:rPr>
              <w:t>IP 5.4.3 Gestion des populations surabondantes de sangliers</w:t>
            </w:r>
          </w:p>
        </w:tc>
        <w:tc>
          <w:tcPr>
            <w:tcW w:type="dxa" w:w="4675"/>
            <w:tcBorders>
              <w:top w:color="00000A" w:space="0" w:sz="4" w:val="single"/>
              <w:left w:color="00000A" w:space="0" w:sz="4" w:val="single"/>
              <w:bottom w:color="00000A" w:space="0" w:sz="4" w:val="single"/>
              <w:right w:color="00000A" w:space="0" w:sz="4" w:val="single"/>
            </w:tcBorders>
            <w:shd w:fill="FFCCFF" w:val="clear"/>
            <w:tcMar>
              <w:left w:type="dxa" w:w="98"/>
            </w:tcMar>
          </w:tcPr>
          <w:p>
            <w:pPr>
              <w:pStyle w:val="style0"/>
              <w:tabs>
                <w:tab w:leader="none" w:pos="2628" w:val="left"/>
                <w:tab w:leader="none" w:pos="5508" w:val="left"/>
                <w:tab w:leader="none" w:pos="7488" w:val="left"/>
                <w:tab w:leader="none" w:pos="10908" w:val="left"/>
              </w:tabs>
              <w:spacing w:after="113" w:before="0"/>
              <w:contextualSpacing w:val="false"/>
              <w:rPr>
                <w:rFonts w:ascii="Calibri" w:hAnsi="Calibri"/>
                <w:b/>
                <w:bCs/>
                <w:sz w:val="20"/>
                <w:szCs w:val="20"/>
              </w:rPr>
            </w:pPr>
            <w:r>
              <w:rPr>
                <w:rFonts w:ascii="Calibri" w:hAnsi="Calibri"/>
                <w:b/>
                <w:bCs/>
                <w:sz w:val="20"/>
                <w:szCs w:val="20"/>
              </w:rPr>
              <w:t>Priorité 1</w:t>
            </w:r>
          </w:p>
        </w:tc>
      </w:tr>
    </w:tbl>
    <w:p>
      <w:pPr>
        <w:pStyle w:val="style0"/>
        <w:jc w:val="center"/>
        <w:rPr>
          <w:rFonts w:ascii="Calibri" w:hAnsi="Calibri"/>
          <w:color w:val="FF0000"/>
          <w:sz w:val="28"/>
          <w:szCs w:val="28"/>
        </w:rPr>
      </w:pPr>
      <w:r>
        <w:rPr>
          <w:rFonts w:ascii="Calibri" w:hAnsi="Calibri"/>
          <w:color w:val="FF0000"/>
          <w:sz w:val="28"/>
          <w:szCs w:val="28"/>
        </w:rPr>
        <w:t>Version ajustée suite consultation publique</w:t>
      </w:r>
    </w:p>
    <w:p>
      <w:pPr>
        <w:pStyle w:val="style0"/>
        <w:shd w:fill="BDD6EE" w:val="clear"/>
        <w:rPr>
          <w:rFonts w:ascii="Calibri" w:hAnsi="Calibri"/>
          <w:b/>
          <w:bCs/>
          <w:sz w:val="20"/>
          <w:szCs w:val="20"/>
        </w:rPr>
      </w:pPr>
      <w:r>
        <w:rPr>
          <w:rFonts w:ascii="Calibri" w:hAnsi="Calibri"/>
          <w:b/>
          <w:bCs/>
          <w:sz w:val="20"/>
          <w:szCs w:val="20"/>
        </w:rPr>
        <w:t>Contexte de l’action :</w:t>
      </w:r>
    </w:p>
    <w:p>
      <w:pPr>
        <w:pStyle w:val="style0"/>
        <w:rPr>
          <w:rFonts w:ascii="Calibri" w:hAnsi="Calibri"/>
          <w:color w:val="808080"/>
          <w:sz w:val="20"/>
          <w:szCs w:val="20"/>
        </w:rPr>
      </w:pPr>
      <w:r>
        <w:rPr>
          <w:rFonts w:ascii="Calibri" w:hAnsi="Calibri"/>
          <w:color w:val="808080"/>
          <w:sz w:val="20"/>
          <w:szCs w:val="20"/>
        </w:rPr>
        <w:t>Facteurs d’influence :</w:t>
      </w:r>
    </w:p>
    <w:p>
      <w:pPr>
        <w:pStyle w:val="style0"/>
        <w:pBdr>
          <w:top w:color="808080" w:space="0" w:sz="4" w:val="single"/>
          <w:left w:color="808080" w:space="0" w:sz="4" w:val="single"/>
          <w:bottom w:color="808080" w:space="0" w:sz="4" w:val="single"/>
          <w:insideH w:color="808080" w:space="0" w:sz="4" w:val="single"/>
          <w:right w:color="808080" w:space="0" w:sz="4" w:val="single"/>
          <w:insideV w:color="808080" w:space="0" w:sz="4" w:val="single"/>
        </w:pBdr>
        <w:shd w:fill="FFF2CC" w:val="clear"/>
        <w:rPr>
          <w:rFonts w:ascii="Calibri" w:hAnsi="Calibri"/>
          <w:color w:val="808080"/>
          <w:sz w:val="20"/>
          <w:szCs w:val="20"/>
        </w:rPr>
      </w:pPr>
      <w:r>
        <w:rPr>
          <w:rFonts w:ascii="Calibri" w:hAnsi="Calibri"/>
          <w:color w:val="808080"/>
          <w:sz w:val="20"/>
          <w:szCs w:val="20"/>
          <w:u w:val="single"/>
        </w:rPr>
        <w:t xml:space="preserve">Positifs : </w:t>
      </w:r>
      <w:r>
        <w:rPr>
          <w:rFonts w:ascii="Calibri" w:hAnsi="Calibri"/>
          <w:color w:val="808080"/>
          <w:sz w:val="20"/>
          <w:szCs w:val="20"/>
        </w:rPr>
        <w:t>Tous usages confondus, présence d'acteurs volontaires pour améliorer la compatibilité entre les enjeux de conservation de la RN, et leurs activités.</w:t>
      </w:r>
    </w:p>
    <w:p>
      <w:pPr>
        <w:pStyle w:val="style0"/>
        <w:pBdr>
          <w:top w:color="808080" w:space="0" w:sz="4" w:val="single"/>
          <w:left w:color="808080" w:space="0" w:sz="4" w:val="single"/>
          <w:bottom w:color="808080" w:space="0" w:sz="4" w:val="single"/>
          <w:insideH w:color="808080" w:space="0" w:sz="4" w:val="single"/>
          <w:right w:color="808080" w:space="0" w:sz="4" w:val="single"/>
          <w:insideV w:color="808080" w:space="0" w:sz="4" w:val="single"/>
        </w:pBdr>
        <w:shd w:fill="FFF2CC" w:val="clear"/>
        <w:rPr>
          <w:rFonts w:ascii="Calibri" w:hAnsi="Calibri"/>
          <w:i/>
          <w:color w:val="808080"/>
          <w:sz w:val="20"/>
          <w:szCs w:val="20"/>
        </w:rPr>
      </w:pPr>
      <w:r>
        <w:rPr>
          <w:rFonts w:ascii="Calibri" w:hAnsi="Calibri"/>
          <w:color w:val="808080"/>
          <w:sz w:val="20"/>
          <w:szCs w:val="20"/>
          <w:u w:val="single"/>
        </w:rPr>
        <w:t xml:space="preserve">Négatifs : </w:t>
      </w:r>
      <w:r>
        <w:rPr>
          <w:rFonts w:ascii="Calibri" w:hAnsi="Calibri"/>
          <w:color w:val="808080"/>
          <w:sz w:val="20"/>
          <w:szCs w:val="20"/>
        </w:rPr>
        <w:t xml:space="preserve">régulation d'espèces surabondantes : des modalités de réalisation de battues administratives  potentiellement incompatibles avec les enjeux biologiques de la RN </w:t>
      </w:r>
      <w:r>
        <w:rPr>
          <w:rFonts w:ascii="Calibri" w:hAnsi="Calibri"/>
          <w:i/>
          <w:color w:val="808080"/>
          <w:sz w:val="20"/>
          <w:szCs w:val="20"/>
        </w:rPr>
        <w:t>(dérangement selon périodes...).</w:t>
      </w:r>
    </w:p>
    <w:p>
      <w:pPr>
        <w:pStyle w:val="style0"/>
        <w:rPr>
          <w:rFonts w:ascii="Calibri" w:hAnsi="Calibri"/>
          <w:color w:val="808080"/>
          <w:sz w:val="20"/>
          <w:szCs w:val="20"/>
        </w:rPr>
      </w:pPr>
      <w:r>
        <w:rPr>
          <w:rFonts w:ascii="Calibri" w:hAnsi="Calibri"/>
          <w:color w:val="808080"/>
          <w:sz w:val="20"/>
          <w:szCs w:val="20"/>
        </w:rPr>
        <w:t>Attendu de l’Objectif du Plan :</w:t>
      </w:r>
    </w:p>
    <w:tbl>
      <w:tblPr>
        <w:jc w:val="left"/>
        <w:tblInd w:type="dxa" w:w="-20"/>
        <w:tblBorders>
          <w:top w:color="808080" w:space="0" w:sz="4" w:val="single"/>
          <w:left w:color="808080" w:space="0" w:sz="4" w:val="single"/>
          <w:bottom w:color="808080" w:space="0" w:sz="4" w:val="single"/>
          <w:insideH w:color="808080" w:space="0" w:sz="4" w:val="single"/>
          <w:right w:color="808080" w:space="0" w:sz="4" w:val="single"/>
          <w:insideV w:color="808080" w:space="0" w:sz="4" w:val="single"/>
        </w:tblBorders>
        <w:tblCellMar>
          <w:top w:type="dxa" w:w="0"/>
          <w:left w:type="dxa" w:w="60"/>
          <w:bottom w:type="dxa" w:w="0"/>
          <w:right w:type="dxa" w:w="70"/>
        </w:tblCellMar>
      </w:tblPr>
      <w:tblGrid>
        <w:gridCol w:w="9211"/>
      </w:tblGrid>
      <w:tr>
        <w:trPr>
          <w:trHeight w:hRule="atLeast" w:val="445"/>
          <w:cantSplit w:val="false"/>
        </w:trPr>
        <w:tc>
          <w:tcPr>
            <w:tcW w:type="dxa" w:w="9211"/>
            <w:tcBorders>
              <w:top w:color="808080" w:space="0" w:sz="4" w:val="single"/>
              <w:left w:color="808080" w:space="0" w:sz="4" w:val="single"/>
              <w:bottom w:color="808080" w:space="0" w:sz="4" w:val="single"/>
              <w:right w:color="808080" w:space="0" w:sz="4" w:val="single"/>
            </w:tcBorders>
            <w:shd w:fill="FFF2CC" w:val="clear"/>
            <w:tcMar>
              <w:left w:type="dxa" w:w="60"/>
            </w:tcMar>
          </w:tcPr>
          <w:p>
            <w:pPr>
              <w:pStyle w:val="style32"/>
              <w:spacing w:after="113" w:before="0"/>
              <w:ind w:hanging="0" w:left="227" w:right="0"/>
              <w:contextualSpacing w:val="false"/>
              <w:rPr>
                <w:rFonts w:ascii="Calibri" w:hAnsi="Calibri"/>
                <w:bCs/>
                <w:color w:val="808080"/>
                <w:szCs w:val="20"/>
              </w:rPr>
            </w:pPr>
            <w:r>
              <w:rPr>
                <w:rFonts w:ascii="Calibri" w:hAnsi="Calibri"/>
                <w:bCs/>
                <w:color w:val="808080"/>
                <w:szCs w:val="20"/>
              </w:rPr>
              <w:t>Des outils de cadrage des principaux usages et pratiques sont élaborés en concertation avec les acteurs concernés, mis en œuvre et respectés.</w:t>
            </w:r>
          </w:p>
        </w:tc>
      </w:tr>
    </w:tbl>
    <w:p>
      <w:pPr>
        <w:pStyle w:val="style0"/>
        <w:tabs>
          <w:tab w:leader="none" w:pos="2628" w:val="left"/>
          <w:tab w:leader="none" w:pos="5508" w:val="left"/>
          <w:tab w:leader="none" w:pos="7488" w:val="left"/>
          <w:tab w:leader="none" w:pos="10908" w:val="left"/>
        </w:tabs>
        <w:rPr>
          <w:rFonts w:ascii="Calibri" w:hAnsi="Calibri"/>
          <w:sz w:val="20"/>
          <w:szCs w:val="20"/>
        </w:rPr>
      </w:pPr>
      <w:r>
        <w:rPr>
          <w:rFonts w:ascii="Calibri" w:hAnsi="Calibri"/>
          <w:sz w:val="20"/>
          <w:szCs w:val="20"/>
        </w:rPr>
      </w:r>
    </w:p>
    <w:p>
      <w:pPr>
        <w:pStyle w:val="style0"/>
        <w:tabs>
          <w:tab w:leader="none" w:pos="2628" w:val="left"/>
          <w:tab w:leader="none" w:pos="5508" w:val="left"/>
          <w:tab w:leader="none" w:pos="7488" w:val="left"/>
          <w:tab w:leader="none" w:pos="10908" w:val="left"/>
        </w:tabs>
        <w:rPr>
          <w:rFonts w:ascii="Calibri" w:hAnsi="Calibri"/>
          <w:sz w:val="20"/>
          <w:szCs w:val="20"/>
        </w:rPr>
      </w:pPr>
      <w:r>
        <w:rPr>
          <w:rFonts w:ascii="Calibri" w:hAnsi="Calibri"/>
          <w:sz w:val="20"/>
          <w:szCs w:val="20"/>
        </w:rPr>
        <w:t>Le caractère surabondant des effectifs de sanglier est localement constaté sur la réserve naturelle de la mi-octobre à mars. Il est corrélé à la forte pression de chasse dans le val dans cette période qui incite les animaux à rejoindre les zones de tranquillité augmentant ainsi le risque de dégâts aux cultures voisines et de collision avec les axes de transports voisins (routes, voie ferrée).</w:t>
      </w:r>
    </w:p>
    <w:p>
      <w:pPr>
        <w:pStyle w:val="style0"/>
        <w:rPr>
          <w:rFonts w:ascii="Calibri" w:cs="Arial" w:hAnsi="Calibri"/>
          <w:color w:val="000000"/>
          <w:sz w:val="20"/>
          <w:szCs w:val="20"/>
        </w:rPr>
      </w:pPr>
      <w:r>
        <w:rPr>
          <w:rFonts w:ascii="Calibri" w:hAnsi="Calibri"/>
          <w:bCs/>
          <w:sz w:val="20"/>
          <w:szCs w:val="20"/>
        </w:rPr>
        <w:t xml:space="preserve">Depuis 2014, un arrêté cadre prescrit les conditions générales d’autorisation et d’organisation des opérations de régulation des sangliers surabondants au sein de la réserve naturelle en tenant compte des enjeux et objectifs de conservation et des intérêts de la réserve naturelle. </w:t>
      </w:r>
      <w:r>
        <w:rPr>
          <w:rFonts w:ascii="Calibri" w:cs="Arial" w:hAnsi="Calibri"/>
          <w:color w:val="000000"/>
          <w:sz w:val="20"/>
          <w:szCs w:val="20"/>
        </w:rPr>
        <w:t>La formation restreinte "chasse et gestion de la faune surabondante" est chargée, par délégation du comité consultatif de gestion, de traiter des questions relatives à la chasse et la surabondance de la faune sauvage sur la Réserve Naturelle du Val de Loire. Entre autre, elle veille à l‘application des dispositions de cet arrêté cadre.</w:t>
      </w:r>
    </w:p>
    <w:p>
      <w:pPr>
        <w:pStyle w:val="style0"/>
        <w:rPr>
          <w:rFonts w:ascii="Calibri" w:hAnsi="Calibri"/>
        </w:rPr>
      </w:pPr>
      <w:r>
        <w:rPr>
          <w:rFonts w:ascii="Calibri" w:hAnsi="Calibri"/>
        </w:rPr>
      </w:r>
    </w:p>
    <w:p>
      <w:pPr>
        <w:pStyle w:val="style0"/>
        <w:shd w:fill="BDD6EE" w:val="clear"/>
        <w:rPr>
          <w:rFonts w:ascii="Calibri" w:hAnsi="Calibri"/>
          <w:b/>
          <w:bCs/>
          <w:sz w:val="20"/>
          <w:szCs w:val="20"/>
        </w:rPr>
      </w:pPr>
      <w:r>
        <w:rPr>
          <w:rFonts w:ascii="Calibri" w:hAnsi="Calibri"/>
          <w:b/>
          <w:bCs/>
          <w:sz w:val="20"/>
          <w:szCs w:val="20"/>
        </w:rPr>
        <w:t>Localisation :</w:t>
      </w:r>
    </w:p>
    <w:p>
      <w:pPr>
        <w:pStyle w:val="style0"/>
        <w:rPr>
          <w:rFonts w:ascii="Calibri" w:hAnsi="Calibri"/>
          <w:bCs/>
          <w:sz w:val="20"/>
          <w:szCs w:val="20"/>
        </w:rPr>
      </w:pPr>
      <w:r>
        <w:rPr>
          <w:rFonts w:ascii="Calibri" w:hAnsi="Calibri"/>
          <w:bCs/>
          <w:sz w:val="20"/>
          <w:szCs w:val="20"/>
        </w:rPr>
        <w:t>Ensemble de la réserve naturelle et plus particulièrement sur trois grands secteurs d’iles et atterrissements :</w:t>
      </w:r>
    </w:p>
    <w:p>
      <w:pPr>
        <w:pStyle w:val="style0"/>
        <w:rPr>
          <w:rFonts w:ascii="Calibri" w:hAnsi="Calibri"/>
          <w:sz w:val="20"/>
          <w:szCs w:val="20"/>
        </w:rPr>
      </w:pPr>
      <w:r>
        <w:rPr>
          <w:rFonts w:ascii="Calibri" w:hAnsi="Calibri"/>
          <w:sz w:val="20"/>
          <w:szCs w:val="20"/>
        </w:rPr>
        <w:t>Ile du pont de la Batte (La Chapelle-Montlinard), île du lac (Herry-Mesves/Loire), îlots des Loges-Couargues (Pouilly/Loire, Tracy/Loire et Couargues).</w:t>
      </w:r>
    </w:p>
    <w:p>
      <w:pPr>
        <w:pStyle w:val="style0"/>
        <w:rPr>
          <w:rFonts w:ascii="Calibri" w:hAnsi="Calibri"/>
          <w:b/>
          <w:bCs/>
          <w:sz w:val="20"/>
          <w:szCs w:val="20"/>
        </w:rPr>
      </w:pPr>
      <w:r>
        <w:rPr>
          <w:rFonts w:ascii="Calibri" w:hAnsi="Calibri"/>
          <w:b/>
          <w:bCs/>
          <w:sz w:val="20"/>
          <w:szCs w:val="20"/>
        </w:rPr>
      </w:r>
    </w:p>
    <w:p>
      <w:pPr>
        <w:pStyle w:val="style0"/>
        <w:shd w:fill="BDD6EE" w:val="clear"/>
        <w:rPr>
          <w:rFonts w:ascii="Calibri" w:hAnsi="Calibri"/>
          <w:b/>
          <w:bCs/>
          <w:sz w:val="20"/>
          <w:szCs w:val="20"/>
        </w:rPr>
      </w:pPr>
      <w:r>
        <w:rPr>
          <w:rFonts w:ascii="Calibri" w:hAnsi="Calibri"/>
          <w:b/>
          <w:bCs/>
          <w:sz w:val="20"/>
          <w:szCs w:val="20"/>
        </w:rPr>
        <w:t>Descriptif de l’action :</w:t>
      </w:r>
    </w:p>
    <w:p>
      <w:pPr>
        <w:pStyle w:val="style0"/>
        <w:spacing w:after="0" w:before="0"/>
        <w:contextualSpacing w:val="false"/>
        <w:rPr>
          <w:rFonts w:ascii="Calibri" w:hAnsi="Calibri"/>
          <w:bCs/>
          <w:sz w:val="20"/>
          <w:szCs w:val="20"/>
        </w:rPr>
      </w:pPr>
      <w:r>
        <w:rPr>
          <w:rFonts w:ascii="Calibri" w:hAnsi="Calibri"/>
          <w:bCs/>
          <w:sz w:val="20"/>
          <w:szCs w:val="20"/>
        </w:rPr>
        <w:t>Elle se décompose en trois volets</w:t>
      </w:r>
    </w:p>
    <w:p>
      <w:pPr>
        <w:pStyle w:val="style0"/>
        <w:spacing w:after="0" w:before="0"/>
        <w:contextualSpacing w:val="false"/>
        <w:rPr>
          <w:rFonts w:ascii="Calibri" w:hAnsi="Calibri"/>
          <w:bCs/>
          <w:sz w:val="20"/>
          <w:szCs w:val="20"/>
        </w:rPr>
      </w:pPr>
      <w:r>
        <w:rPr>
          <w:rFonts w:ascii="Calibri" w:hAnsi="Calibri"/>
          <w:bCs/>
          <w:sz w:val="20"/>
          <w:szCs w:val="20"/>
        </w:rPr>
      </w:r>
    </w:p>
    <w:p>
      <w:pPr>
        <w:pStyle w:val="style0"/>
        <w:spacing w:after="0" w:before="0"/>
        <w:contextualSpacing w:val="false"/>
        <w:rPr>
          <w:rFonts w:ascii="Calibri" w:cs="Verdana" w:hAnsi="Calibri"/>
          <w:sz w:val="20"/>
          <w:szCs w:val="20"/>
        </w:rPr>
      </w:pPr>
      <w:r>
        <w:rPr>
          <w:rFonts w:ascii="Calibri" w:hAnsi="Calibri"/>
          <w:b/>
          <w:bCs/>
          <w:sz w:val="20"/>
          <w:szCs w:val="20"/>
        </w:rPr>
        <w:t>1/ une veille</w:t>
      </w:r>
      <w:r>
        <w:rPr>
          <w:rFonts w:ascii="Calibri" w:hAnsi="Calibri"/>
          <w:bCs/>
          <w:sz w:val="20"/>
          <w:szCs w:val="20"/>
        </w:rPr>
        <w:t xml:space="preserve"> sur les niveaux de population des sangliers</w:t>
      </w:r>
      <w:r>
        <w:rPr>
          <w:rFonts w:ascii="Calibri" w:cs="Verdana" w:hAnsi="Calibri"/>
          <w:sz w:val="20"/>
          <w:szCs w:val="20"/>
        </w:rPr>
        <w:t>.</w:t>
      </w:r>
    </w:p>
    <w:p>
      <w:pPr>
        <w:pStyle w:val="style0"/>
        <w:spacing w:after="0" w:before="0"/>
        <w:contextualSpacing w:val="false"/>
        <w:rPr>
          <w:rFonts w:ascii="Calibri" w:hAnsi="Calibri"/>
        </w:rPr>
      </w:pPr>
      <w:r>
        <w:rPr>
          <w:rFonts w:ascii="Calibri" w:hAnsi="Calibri"/>
        </w:rPr>
      </w:r>
    </w:p>
    <w:p>
      <w:pPr>
        <w:pStyle w:val="style0"/>
        <w:spacing w:after="0" w:before="0"/>
        <w:contextualSpacing w:val="false"/>
        <w:rPr>
          <w:rFonts w:ascii="Calibri" w:cs="Verdana" w:hAnsi="Calibri"/>
          <w:sz w:val="20"/>
          <w:szCs w:val="20"/>
        </w:rPr>
      </w:pPr>
      <w:r>
        <w:rPr>
          <w:rFonts w:ascii="Calibri" w:cs="Verdana" w:hAnsi="Calibri"/>
          <w:sz w:val="20"/>
          <w:szCs w:val="20"/>
        </w:rPr>
        <w:t>Les données qui alimentent cette veille sont recueillies à l’occasion :</w:t>
      </w:r>
    </w:p>
    <w:p>
      <w:pPr>
        <w:pStyle w:val="style0"/>
        <w:spacing w:after="0" w:before="0"/>
        <w:ind w:firstLine="227" w:left="426" w:right="0"/>
        <w:contextualSpacing w:val="false"/>
        <w:rPr>
          <w:rFonts w:ascii="Calibri" w:hAnsi="Calibri"/>
          <w:sz w:val="20"/>
          <w:szCs w:val="20"/>
        </w:rPr>
      </w:pPr>
      <w:r>
        <w:rPr>
          <w:rFonts w:ascii="Calibri" w:hAnsi="Calibri"/>
          <w:sz w:val="20"/>
          <w:szCs w:val="20"/>
        </w:rPr>
        <w:t>- des interventions des associations des chasseurs à l’arc du Cher et de la Nièvre de la mi novembre à la mi mars où les participants sont tenus de renseigner une fiche de suivi spécifique.</w:t>
      </w:r>
    </w:p>
    <w:p>
      <w:pPr>
        <w:pStyle w:val="style0"/>
        <w:spacing w:after="0" w:before="0"/>
        <w:ind w:firstLine="227" w:left="426" w:right="0"/>
        <w:contextualSpacing w:val="false"/>
        <w:rPr>
          <w:rFonts w:ascii="Calibri" w:hAnsi="Calibri"/>
          <w:i/>
          <w:sz w:val="20"/>
          <w:szCs w:val="20"/>
        </w:rPr>
      </w:pPr>
      <w:r>
        <w:rPr>
          <w:rFonts w:ascii="Calibri" w:cs="Verdana" w:hAnsi="Calibri"/>
          <w:sz w:val="20"/>
          <w:szCs w:val="20"/>
        </w:rPr>
        <w:t xml:space="preserve">- d’au moins deux visites de terrain dédiées en présence des différents acteurs concernées de la gestion. </w:t>
      </w:r>
      <w:r>
        <w:rPr>
          <w:rFonts w:ascii="Calibri" w:hAnsi="Calibri"/>
          <w:i/>
          <w:sz w:val="20"/>
          <w:szCs w:val="20"/>
        </w:rPr>
        <w:t xml:space="preserve">Une entre le 15 </w:t>
      </w:r>
      <w:r>
        <w:rPr>
          <w:rFonts w:ascii="Calibri" w:hAnsi="Calibri"/>
          <w:i/>
          <w:color w:val="FF0000"/>
          <w:sz w:val="20"/>
          <w:szCs w:val="20"/>
        </w:rPr>
        <w:t>septembre</w:t>
      </w:r>
      <w:r>
        <w:rPr>
          <w:rFonts w:ascii="Calibri" w:hAnsi="Calibri"/>
          <w:i/>
          <w:sz w:val="20"/>
          <w:szCs w:val="20"/>
        </w:rPr>
        <w:t xml:space="preserve"> et 30 </w:t>
      </w:r>
      <w:r>
        <w:rPr>
          <w:rFonts w:ascii="Calibri" w:hAnsi="Calibri"/>
          <w:i/>
          <w:color w:val="FF0000"/>
          <w:sz w:val="20"/>
          <w:szCs w:val="20"/>
        </w:rPr>
        <w:t>octobre</w:t>
      </w:r>
      <w:r>
        <w:rPr>
          <w:rFonts w:ascii="Calibri" w:hAnsi="Calibri"/>
          <w:i/>
          <w:sz w:val="20"/>
          <w:szCs w:val="20"/>
        </w:rPr>
        <w:t xml:space="preserve"> </w:t>
      </w:r>
      <w:r>
        <w:rPr>
          <w:rFonts w:ascii="Calibri" w:hAnsi="Calibri"/>
          <w:i/>
          <w:strike/>
          <w:sz w:val="20"/>
          <w:szCs w:val="20"/>
        </w:rPr>
        <w:t>septembre</w:t>
      </w:r>
      <w:r>
        <w:rPr>
          <w:rFonts w:ascii="Calibri" w:hAnsi="Calibri"/>
          <w:i/>
          <w:sz w:val="20"/>
          <w:szCs w:val="20"/>
        </w:rPr>
        <w:t xml:space="preserve"> et l’autre au cours de la 1ère quinzaine de mars (respectivement avant le  début et à la fin des périodes de chasse et d’intervention des chasseurs à l’arc).</w:t>
      </w:r>
    </w:p>
    <w:p>
      <w:pPr>
        <w:pStyle w:val="style0"/>
        <w:spacing w:after="0" w:before="0"/>
        <w:ind w:firstLine="227" w:left="426" w:right="0"/>
        <w:contextualSpacing w:val="false"/>
        <w:rPr>
          <w:rFonts w:ascii="Calibri" w:hAnsi="Calibri"/>
          <w:sz w:val="20"/>
          <w:szCs w:val="20"/>
        </w:rPr>
      </w:pPr>
      <w:r>
        <w:rPr>
          <w:rFonts w:ascii="Calibri" w:hAnsi="Calibri"/>
          <w:sz w:val="20"/>
          <w:szCs w:val="20"/>
        </w:rPr>
        <w:t>- d’autres missions de terrain par le gestionnaire de la RNVL.</w:t>
      </w:r>
    </w:p>
    <w:p>
      <w:pPr>
        <w:pStyle w:val="style0"/>
        <w:spacing w:after="0" w:before="0"/>
        <w:contextualSpacing w:val="false"/>
        <w:rPr>
          <w:rFonts w:ascii="Calibri" w:cs="Verdana" w:hAnsi="Calibri"/>
          <w:sz w:val="20"/>
          <w:szCs w:val="20"/>
        </w:rPr>
      </w:pPr>
      <w:r>
        <w:rPr>
          <w:rFonts w:ascii="Calibri" w:cs="Verdana" w:hAnsi="Calibri"/>
          <w:sz w:val="20"/>
          <w:szCs w:val="20"/>
        </w:rPr>
      </w:r>
    </w:p>
    <w:p>
      <w:pPr>
        <w:pStyle w:val="style0"/>
        <w:spacing w:after="0" w:before="0"/>
        <w:contextualSpacing w:val="false"/>
        <w:rPr>
          <w:rFonts w:ascii="Calibri" w:cs="Verdana" w:hAnsi="Calibri"/>
          <w:sz w:val="20"/>
          <w:szCs w:val="20"/>
        </w:rPr>
      </w:pPr>
      <w:r>
        <w:rPr>
          <w:rFonts w:ascii="Calibri" w:cs="Verdana" w:hAnsi="Calibri"/>
          <w:sz w:val="20"/>
          <w:szCs w:val="20"/>
        </w:rPr>
        <w:t xml:space="preserve">Elles permettent de </w:t>
      </w:r>
      <w:r>
        <w:rPr>
          <w:rFonts w:ascii="Calibri" w:hAnsi="Calibri"/>
          <w:bCs/>
          <w:sz w:val="20"/>
          <w:szCs w:val="20"/>
        </w:rPr>
        <w:t xml:space="preserve">caractériser l’évolution et le degré </w:t>
      </w:r>
      <w:r>
        <w:rPr>
          <w:rFonts w:ascii="Calibri" w:cs="Verdana" w:hAnsi="Calibri"/>
          <w:sz w:val="20"/>
          <w:szCs w:val="20"/>
        </w:rPr>
        <w:t>de fréquentation de l’espèce sur la RNVL.</w:t>
      </w:r>
    </w:p>
    <w:p>
      <w:pPr>
        <w:pStyle w:val="style0"/>
        <w:spacing w:after="0" w:before="0"/>
        <w:contextualSpacing w:val="false"/>
        <w:rPr>
          <w:rFonts w:ascii="Calibri" w:cs="Verdana" w:hAnsi="Calibri"/>
          <w:sz w:val="20"/>
          <w:szCs w:val="20"/>
        </w:rPr>
      </w:pPr>
      <w:r>
        <w:rPr>
          <w:rFonts w:ascii="Calibri" w:cs="Verdana" w:hAnsi="Calibri"/>
          <w:sz w:val="20"/>
          <w:szCs w:val="20"/>
        </w:rPr>
      </w:r>
    </w:p>
    <w:p>
      <w:pPr>
        <w:pStyle w:val="style0"/>
        <w:spacing w:after="0" w:before="0"/>
        <w:contextualSpacing w:val="false"/>
        <w:rPr>
          <w:rFonts w:ascii="Calibri" w:cs="Verdana" w:hAnsi="Calibri"/>
          <w:sz w:val="20"/>
          <w:szCs w:val="20"/>
        </w:rPr>
      </w:pPr>
      <w:r>
        <w:rPr>
          <w:rFonts w:ascii="Calibri" w:cs="Verdana" w:hAnsi="Calibri"/>
          <w:sz w:val="20"/>
          <w:szCs w:val="20"/>
        </w:rPr>
        <w:t>En parallèle les Fédérations départementales des chasseurs de la Nièvre et du Cher fournissent :</w:t>
      </w:r>
    </w:p>
    <w:p>
      <w:pPr>
        <w:pStyle w:val="style0"/>
        <w:spacing w:after="0" w:before="0"/>
        <w:ind w:firstLine="227" w:left="284" w:right="0"/>
        <w:contextualSpacing w:val="false"/>
        <w:rPr>
          <w:rFonts w:ascii="Calibri" w:cs="Verdana" w:hAnsi="Calibri"/>
          <w:sz w:val="20"/>
          <w:szCs w:val="20"/>
        </w:rPr>
      </w:pPr>
      <w:r>
        <w:rPr>
          <w:rFonts w:ascii="Calibri" w:cs="Verdana" w:hAnsi="Calibri"/>
          <w:sz w:val="20"/>
          <w:szCs w:val="20"/>
        </w:rPr>
        <w:t>- en début de saison de chasse, un bilan des dégâts et prélèvements de la saison précédente ;</w:t>
      </w:r>
    </w:p>
    <w:p>
      <w:pPr>
        <w:pStyle w:val="style0"/>
        <w:spacing w:after="0" w:before="0"/>
        <w:ind w:firstLine="227" w:left="284" w:right="0"/>
        <w:contextualSpacing w:val="false"/>
        <w:rPr>
          <w:rFonts w:ascii="Calibri" w:cs="Verdana" w:hAnsi="Calibri"/>
          <w:sz w:val="20"/>
          <w:szCs w:val="20"/>
        </w:rPr>
      </w:pPr>
      <w:r>
        <w:rPr>
          <w:rFonts w:ascii="Calibri" w:cs="Verdana" w:hAnsi="Calibri"/>
          <w:sz w:val="20"/>
          <w:szCs w:val="20"/>
        </w:rPr>
        <w:t>- en fin de saison de chasse, un état de la problématique dégâts (chiffres provisoires de l’année).</w:t>
      </w:r>
    </w:p>
    <w:p>
      <w:pPr>
        <w:pStyle w:val="style0"/>
        <w:spacing w:after="0" w:before="0"/>
        <w:contextualSpacing w:val="false"/>
        <w:rPr>
          <w:rFonts w:ascii="Calibri" w:cs="Verdana" w:hAnsi="Calibri"/>
          <w:sz w:val="20"/>
          <w:szCs w:val="20"/>
        </w:rPr>
      </w:pPr>
      <w:r>
        <w:rPr>
          <w:rFonts w:ascii="Calibri" w:cs="Verdana" w:hAnsi="Calibri"/>
          <w:sz w:val="20"/>
          <w:szCs w:val="20"/>
        </w:rPr>
      </w:r>
    </w:p>
    <w:p>
      <w:pPr>
        <w:pStyle w:val="style0"/>
        <w:spacing w:after="0" w:before="0"/>
        <w:contextualSpacing w:val="false"/>
        <w:rPr>
          <w:rFonts w:ascii="Calibri" w:cs="Verdana" w:hAnsi="Calibri"/>
          <w:sz w:val="20"/>
          <w:szCs w:val="20"/>
        </w:rPr>
      </w:pPr>
      <w:r>
        <w:rPr>
          <w:rFonts w:ascii="Calibri" w:cs="Verdana" w:hAnsi="Calibri"/>
          <w:sz w:val="20"/>
          <w:szCs w:val="20"/>
        </w:rPr>
        <w:t>L’analyse croisée de ces informations permet d’ajuster les opérations de régulation du volet 2 de cette action.</w:t>
      </w:r>
    </w:p>
    <w:p>
      <w:pPr>
        <w:pStyle w:val="style0"/>
        <w:spacing w:after="0" w:before="0"/>
        <w:contextualSpacing w:val="false"/>
        <w:rPr>
          <w:rFonts w:ascii="Calibri" w:cs="Verdana" w:hAnsi="Calibri"/>
          <w:sz w:val="20"/>
          <w:szCs w:val="20"/>
        </w:rPr>
      </w:pPr>
      <w:r>
        <w:rPr>
          <w:rFonts w:ascii="Calibri" w:cs="Verdana" w:hAnsi="Calibri"/>
          <w:sz w:val="20"/>
          <w:szCs w:val="20"/>
        </w:rPr>
      </w:r>
    </w:p>
    <w:p>
      <w:pPr>
        <w:pStyle w:val="style0"/>
        <w:spacing w:after="0" w:before="0"/>
        <w:contextualSpacing w:val="false"/>
        <w:rPr>
          <w:rFonts w:ascii="Calibri" w:cs="Verdana" w:hAnsi="Calibri"/>
          <w:b/>
          <w:sz w:val="20"/>
          <w:szCs w:val="20"/>
        </w:rPr>
      </w:pPr>
      <w:r>
        <w:rPr>
          <w:rFonts w:ascii="Calibri" w:cs="Verdana" w:hAnsi="Calibri"/>
          <w:sz w:val="20"/>
          <w:szCs w:val="20"/>
        </w:rPr>
        <w:t xml:space="preserve">2/ </w:t>
      </w:r>
      <w:r>
        <w:rPr>
          <w:rFonts w:ascii="Calibri" w:cs="Verdana" w:hAnsi="Calibri"/>
          <w:b/>
          <w:sz w:val="20"/>
          <w:szCs w:val="20"/>
        </w:rPr>
        <w:t>les opérations de régulation</w:t>
      </w:r>
      <w:r>
        <w:rPr>
          <w:rFonts w:ascii="Calibri" w:cs="Verdana" w:hAnsi="Calibri"/>
          <w:sz w:val="20"/>
          <w:szCs w:val="20"/>
        </w:rPr>
        <w:t xml:space="preserve"> : </w:t>
      </w:r>
      <w:r>
        <w:rPr>
          <w:rFonts w:ascii="Calibri" w:cs="Verdana" w:hAnsi="Calibri"/>
          <w:b/>
          <w:sz w:val="20"/>
          <w:szCs w:val="20"/>
        </w:rPr>
        <w:t xml:space="preserve"> </w:t>
      </w:r>
    </w:p>
    <w:p>
      <w:pPr>
        <w:pStyle w:val="style0"/>
        <w:spacing w:after="0" w:before="0"/>
        <w:contextualSpacing w:val="false"/>
        <w:rPr>
          <w:rFonts w:ascii="Calibri" w:hAnsi="Calibri"/>
          <w:sz w:val="20"/>
          <w:szCs w:val="20"/>
        </w:rPr>
      </w:pPr>
      <w:r>
        <w:rPr>
          <w:rFonts w:ascii="Calibri" w:hAnsi="Calibri"/>
          <w:sz w:val="20"/>
          <w:szCs w:val="20"/>
        </w:rPr>
        <w:t xml:space="preserve">Les prélèvements de sangliers sont effectués : </w:t>
      </w:r>
    </w:p>
    <w:p>
      <w:pPr>
        <w:pStyle w:val="style0"/>
        <w:numPr>
          <w:ilvl w:val="0"/>
          <w:numId w:val="2"/>
        </w:numPr>
        <w:spacing w:after="0" w:before="0"/>
        <w:ind w:hanging="360" w:left="720" w:right="0"/>
        <w:contextualSpacing w:val="false"/>
        <w:rPr>
          <w:rFonts w:ascii="Calibri" w:hAnsi="Calibri"/>
          <w:sz w:val="20"/>
          <w:szCs w:val="20"/>
        </w:rPr>
      </w:pPr>
      <w:r>
        <w:rPr>
          <w:rFonts w:ascii="Calibri" w:hAnsi="Calibri"/>
          <w:sz w:val="20"/>
          <w:szCs w:val="20"/>
        </w:rPr>
        <w:t xml:space="preserve">via l’exercice de la chasse conformément à sa réglementation en vigueur sur près de 350 ha de propriété privée au sein de la réserve naturelle ouverte à cette pratique </w:t>
      </w:r>
      <w:r>
        <w:rPr>
          <w:rFonts w:ascii="Calibri" w:hAnsi="Calibri"/>
          <w:i/>
          <w:sz w:val="20"/>
          <w:szCs w:val="20"/>
        </w:rPr>
        <w:t>(voir section A-Etat des lieux-A.3.4.6.2  Chasse)</w:t>
      </w:r>
      <w:r>
        <w:rPr>
          <w:rFonts w:ascii="Calibri" w:hAnsi="Calibri"/>
          <w:sz w:val="20"/>
          <w:szCs w:val="20"/>
        </w:rPr>
        <w:t xml:space="preserve">. </w:t>
      </w:r>
    </w:p>
    <w:p>
      <w:pPr>
        <w:pStyle w:val="style0"/>
        <w:numPr>
          <w:ilvl w:val="0"/>
          <w:numId w:val="2"/>
        </w:numPr>
        <w:spacing w:after="0" w:before="0"/>
        <w:ind w:hanging="360" w:left="720" w:right="0"/>
        <w:contextualSpacing w:val="false"/>
        <w:rPr>
          <w:rFonts w:ascii="Calibri" w:hAnsi="Calibri"/>
          <w:sz w:val="20"/>
          <w:szCs w:val="20"/>
        </w:rPr>
      </w:pPr>
      <w:r>
        <w:rPr>
          <w:rFonts w:ascii="Calibri" w:hAnsi="Calibri"/>
          <w:sz w:val="20"/>
          <w:szCs w:val="20"/>
        </w:rPr>
        <w:t>via la mise en place de dispositif spécifiques sur les 1100 ha de Domaine Public et Fluvial et propriété privée où l’exercice de la chasse n’est pas autorisé conformément à l’article 10 du décret de création de la réserve naturelle</w:t>
      </w:r>
    </w:p>
    <w:tbl>
      <w:tblPr>
        <w:jc w:val="center"/>
        <w:tblInd w:type="dxa" w:w="0"/>
        <w:tblBorders>
          <w:top w:val="nil"/>
          <w:left w:val="nil"/>
          <w:bottom w:val="nil"/>
          <w:insideH w:val="nil"/>
          <w:right w:color="00000A" w:space="0" w:sz="8" w:val="single"/>
          <w:insideV w:color="00000A" w:space="0" w:sz="8" w:val="single"/>
        </w:tblBorders>
        <w:tblCellMar>
          <w:top w:type="dxa" w:w="0"/>
          <w:left w:type="dxa" w:w="118"/>
          <w:bottom w:type="dxa" w:w="0"/>
          <w:right w:type="dxa" w:w="108"/>
        </w:tblCellMar>
      </w:tblPr>
      <w:tblGrid>
        <w:gridCol w:w="1289"/>
        <w:gridCol w:w="4059"/>
        <w:gridCol w:w="3827"/>
      </w:tblGrid>
      <w:tr>
        <w:trPr>
          <w:trHeight w:hRule="atLeast" w:val="393"/>
          <w:cantSplit w:val="false"/>
        </w:trPr>
        <w:tc>
          <w:tcPr>
            <w:tcW w:type="dxa" w:w="1289"/>
            <w:tcBorders>
              <w:top w:val="nil"/>
              <w:left w:val="nil"/>
              <w:bottom w:val="nil"/>
              <w:right w:color="00000A" w:space="0" w:sz="8" w:val="single"/>
            </w:tcBorders>
            <w:shd w:fill="FFFFFF" w:val="clear"/>
            <w:vAlign w:val="center"/>
          </w:tcPr>
          <w:p>
            <w:pPr>
              <w:pStyle w:val="style0"/>
              <w:spacing w:after="113" w:before="0"/>
              <w:contextualSpacing/>
              <w:rPr>
                <w:rFonts w:ascii="Calibri" w:hAnsi="Calibri"/>
                <w:b/>
                <w:sz w:val="18"/>
                <w:szCs w:val="18"/>
              </w:rPr>
            </w:pPr>
            <w:r>
              <w:rPr>
                <w:rFonts w:ascii="Calibri" w:hAnsi="Calibri"/>
                <w:b/>
                <w:sz w:val="18"/>
                <w:szCs w:val="18"/>
              </w:rPr>
            </w:r>
          </w:p>
        </w:tc>
        <w:tc>
          <w:tcPr>
            <w:tcW w:type="dxa" w:w="4059"/>
            <w:tcBorders>
              <w:top w:color="00000A" w:space="0" w:sz="8" w:val="single"/>
              <w:left w:color="00000A" w:space="0" w:sz="8" w:val="single"/>
              <w:bottom w:color="00000A" w:space="0" w:sz="4" w:val="single"/>
              <w:right w:color="00000A" w:space="0" w:sz="4" w:val="single"/>
            </w:tcBorders>
            <w:shd w:fill="595959" w:val="clear"/>
            <w:tcMar>
              <w:left w:type="dxa" w:w="83"/>
            </w:tcMar>
            <w:vAlign w:val="center"/>
          </w:tcPr>
          <w:p>
            <w:pPr>
              <w:pStyle w:val="style0"/>
              <w:spacing w:after="113" w:before="0"/>
              <w:contextualSpacing/>
              <w:rPr>
                <w:rFonts w:ascii="Calibri" w:hAnsi="Calibri"/>
                <w:b/>
                <w:color w:val="FFFFFF"/>
                <w:sz w:val="18"/>
                <w:szCs w:val="18"/>
              </w:rPr>
            </w:pPr>
            <w:r>
              <w:rPr>
                <w:rFonts w:ascii="Calibri" w:hAnsi="Calibri"/>
                <w:b/>
                <w:color w:val="FFFFFF"/>
                <w:sz w:val="18"/>
                <w:szCs w:val="18"/>
              </w:rPr>
              <w:t>Poussées silencieuses et prélèvement à l’arc</w:t>
            </w:r>
          </w:p>
        </w:tc>
        <w:tc>
          <w:tcPr>
            <w:tcW w:type="dxa" w:w="3827"/>
            <w:tcBorders>
              <w:top w:color="00000A" w:space="0" w:sz="8" w:val="single"/>
              <w:left w:color="00000A" w:space="0" w:sz="8" w:val="single"/>
              <w:bottom w:color="00000A" w:space="0" w:sz="4" w:val="single"/>
              <w:right w:color="00000A" w:space="0" w:sz="8" w:val="single"/>
            </w:tcBorders>
            <w:shd w:fill="595959" w:val="clear"/>
            <w:tcMar>
              <w:left w:type="dxa" w:w="88"/>
            </w:tcMar>
            <w:vAlign w:val="center"/>
          </w:tcPr>
          <w:p>
            <w:pPr>
              <w:pStyle w:val="style0"/>
              <w:spacing w:after="0" w:before="0"/>
              <w:contextualSpacing/>
              <w:rPr>
                <w:rFonts w:ascii="Calibri" w:hAnsi="Calibri"/>
                <w:b/>
                <w:color w:val="FFFFFF"/>
                <w:sz w:val="18"/>
                <w:szCs w:val="18"/>
              </w:rPr>
            </w:pPr>
            <w:r>
              <w:rPr>
                <w:rFonts w:ascii="Calibri" w:hAnsi="Calibri"/>
                <w:b/>
                <w:color w:val="FFFFFF"/>
                <w:sz w:val="18"/>
                <w:szCs w:val="18"/>
              </w:rPr>
              <w:t>Battues administratives</w:t>
            </w:r>
          </w:p>
        </w:tc>
      </w:tr>
      <w:tr>
        <w:trPr>
          <w:cantSplit w:val="false"/>
        </w:trPr>
        <w:tc>
          <w:tcPr>
            <w:tcW w:type="dxa" w:w="1289"/>
            <w:tcBorders>
              <w:top w:val="nil"/>
              <w:left w:val="nil"/>
              <w:bottom w:color="00000A" w:space="0" w:sz="8" w:val="single"/>
              <w:right w:color="00000A" w:space="0" w:sz="8" w:val="single"/>
            </w:tcBorders>
            <w:shd w:fill="FFFFFF" w:val="clear"/>
            <w:vAlign w:val="center"/>
          </w:tcPr>
          <w:p>
            <w:pPr>
              <w:pStyle w:val="style0"/>
              <w:spacing w:after="113" w:before="0"/>
              <w:contextualSpacing/>
              <w:rPr>
                <w:rFonts w:ascii="Calibri" w:hAnsi="Calibri"/>
                <w:b/>
                <w:sz w:val="18"/>
                <w:szCs w:val="18"/>
              </w:rPr>
            </w:pPr>
            <w:r>
              <w:rPr>
                <w:rFonts w:ascii="Calibri" w:hAnsi="Calibri"/>
                <w:b/>
                <w:sz w:val="18"/>
                <w:szCs w:val="18"/>
              </w:rPr>
            </w:r>
          </w:p>
        </w:tc>
        <w:tc>
          <w:tcPr>
            <w:tcW w:type="dxa" w:w="7886"/>
            <w:gridSpan w:val="2"/>
            <w:tcBorders>
              <w:top w:color="00000A" w:space="0" w:sz="8" w:val="single"/>
              <w:left w:color="00000A" w:space="0" w:sz="8" w:val="single"/>
              <w:bottom w:color="00000A" w:space="0" w:sz="8" w:val="single"/>
              <w:right w:color="00000A" w:space="0" w:sz="8" w:val="single"/>
            </w:tcBorders>
            <w:shd w:fill="FFFFFF" w:val="clear"/>
            <w:tcMar>
              <w:left w:type="dxa" w:w="83"/>
            </w:tcMar>
            <w:vAlign w:val="center"/>
          </w:tcPr>
          <w:p>
            <w:pPr>
              <w:pStyle w:val="style0"/>
              <w:spacing w:after="113" w:before="0"/>
              <w:contextualSpacing/>
              <w:jc w:val="center"/>
              <w:rPr>
                <w:rFonts w:ascii="Calibri" w:hAnsi="Calibri"/>
                <w:i/>
                <w:sz w:val="18"/>
                <w:szCs w:val="18"/>
              </w:rPr>
            </w:pPr>
            <w:r>
              <w:rPr>
                <w:rFonts w:ascii="Calibri" w:hAnsi="Calibri"/>
                <w:i/>
                <w:sz w:val="18"/>
                <w:szCs w:val="18"/>
              </w:rPr>
              <w:t>Un arrêté préfectoral annuel autorise la réalisation de ces dispositifs</w:t>
            </w:r>
          </w:p>
        </w:tc>
      </w:tr>
      <w:tr>
        <w:trPr>
          <w:cantSplit w:val="false"/>
        </w:trPr>
        <w:tc>
          <w:tcPr>
            <w:tcW w:type="dxa" w:w="1289"/>
            <w:tcBorders>
              <w:top w:color="00000A" w:space="0" w:sz="8" w:val="single"/>
              <w:left w:color="00000A" w:space="0" w:sz="8" w:val="single"/>
              <w:bottom w:color="00000A" w:space="0" w:sz="8" w:val="single"/>
              <w:right w:color="00000A" w:space="0" w:sz="4" w:val="single"/>
            </w:tcBorders>
            <w:shd w:fill="F2F2F2" w:val="clear"/>
            <w:tcMar>
              <w:left w:type="dxa" w:w="83"/>
            </w:tcMar>
            <w:vAlign w:val="center"/>
          </w:tcPr>
          <w:p>
            <w:pPr>
              <w:pStyle w:val="style0"/>
              <w:spacing w:after="113" w:before="0"/>
              <w:contextualSpacing/>
              <w:rPr>
                <w:rFonts w:ascii="Calibri" w:hAnsi="Calibri"/>
                <w:b/>
                <w:sz w:val="18"/>
                <w:szCs w:val="18"/>
              </w:rPr>
            </w:pPr>
            <w:r>
              <w:rPr>
                <w:rFonts w:ascii="Calibri" w:hAnsi="Calibri"/>
                <w:b/>
                <w:sz w:val="18"/>
                <w:szCs w:val="18"/>
              </w:rPr>
              <w:t>Vise à</w:t>
            </w:r>
          </w:p>
        </w:tc>
        <w:tc>
          <w:tcPr>
            <w:tcW w:type="dxa" w:w="4059"/>
            <w:tcBorders>
              <w:top w:color="00000A" w:space="0" w:sz="8" w:val="single"/>
              <w:left w:color="00000A" w:space="0" w:sz="4" w:val="single"/>
              <w:bottom w:color="00000A" w:space="0" w:sz="8" w:val="single"/>
              <w:right w:color="00000A" w:space="0" w:sz="4" w:val="single"/>
            </w:tcBorders>
            <w:shd w:fill="FFFFFF" w:val="clear"/>
            <w:tcMar>
              <w:left w:type="dxa" w:w="98"/>
            </w:tcMar>
            <w:vAlign w:val="center"/>
          </w:tcPr>
          <w:p>
            <w:pPr>
              <w:pStyle w:val="style31"/>
              <w:suppressAutoHyphens w:val="true"/>
              <w:ind w:hanging="0" w:left="34" w:right="0"/>
              <w:textAlignment w:val="baseline"/>
              <w:rPr>
                <w:rFonts w:ascii="Calibri" w:hAnsi="Calibri"/>
                <w:bCs/>
                <w:sz w:val="18"/>
                <w:szCs w:val="18"/>
              </w:rPr>
            </w:pPr>
            <w:r>
              <w:rPr>
                <w:rFonts w:ascii="Calibri" w:hAnsi="Calibri"/>
                <w:bCs/>
                <w:sz w:val="18"/>
                <w:szCs w:val="18"/>
              </w:rPr>
              <w:t>- déranger régulièrement les sangliers et les disperser vers les fonds riverains chassables dans et à l’extérieur de la RN</w:t>
            </w:r>
          </w:p>
          <w:p>
            <w:pPr>
              <w:pStyle w:val="style31"/>
              <w:suppressAutoHyphens w:val="true"/>
              <w:ind w:hanging="0" w:left="34" w:right="0"/>
              <w:textAlignment w:val="baseline"/>
              <w:rPr>
                <w:rFonts w:ascii="Calibri" w:hAnsi="Calibri"/>
                <w:bCs/>
                <w:sz w:val="18"/>
                <w:szCs w:val="18"/>
              </w:rPr>
            </w:pPr>
            <w:r>
              <w:rPr>
                <w:rFonts w:ascii="Calibri" w:hAnsi="Calibri"/>
                <w:bCs/>
                <w:sz w:val="18"/>
                <w:szCs w:val="18"/>
              </w:rPr>
              <w:t>- assurer un prélèvement des sangliers par le tir à l'arc</w:t>
            </w:r>
          </w:p>
          <w:p>
            <w:pPr>
              <w:pStyle w:val="style31"/>
              <w:ind w:hanging="14" w:left="34" w:right="0"/>
              <w:rPr>
                <w:rFonts w:ascii="Calibri" w:hAnsi="Calibri"/>
                <w:bCs/>
                <w:sz w:val="18"/>
                <w:szCs w:val="18"/>
              </w:rPr>
            </w:pPr>
            <w:r>
              <w:rPr>
                <w:rFonts w:ascii="Calibri" w:hAnsi="Calibri"/>
                <w:bCs/>
                <w:sz w:val="18"/>
                <w:szCs w:val="18"/>
              </w:rPr>
              <w:t>tout en garantissant une quiétude nécessaire au stationnement de l’avifaune hivernante.</w:t>
            </w:r>
          </w:p>
        </w:tc>
        <w:tc>
          <w:tcPr>
            <w:tcW w:type="dxa" w:w="3827"/>
            <w:tcBorders>
              <w:top w:color="00000A" w:space="0" w:sz="8" w:val="single"/>
              <w:left w:color="00000A" w:space="0" w:sz="8" w:val="single"/>
              <w:bottom w:color="00000A" w:space="0" w:sz="8" w:val="single"/>
              <w:right w:color="00000A" w:space="0" w:sz="8" w:val="single"/>
            </w:tcBorders>
            <w:shd w:fill="FFFFFF" w:val="clear"/>
            <w:tcMar>
              <w:left w:type="dxa" w:w="88"/>
            </w:tcMar>
            <w:vAlign w:val="center"/>
          </w:tcPr>
          <w:p>
            <w:pPr>
              <w:pStyle w:val="style31"/>
              <w:suppressAutoHyphens w:val="true"/>
              <w:ind w:hanging="0" w:left="22" w:right="0"/>
              <w:jc w:val="left"/>
              <w:textAlignment w:val="baseline"/>
              <w:rPr>
                <w:rFonts w:ascii="Calibri" w:hAnsi="Calibri"/>
                <w:color w:val="000000"/>
                <w:sz w:val="18"/>
                <w:szCs w:val="18"/>
              </w:rPr>
            </w:pPr>
            <w:r>
              <w:rPr>
                <w:rFonts w:ascii="Calibri" w:hAnsi="Calibri"/>
                <w:bCs/>
                <w:sz w:val="18"/>
                <w:szCs w:val="18"/>
              </w:rPr>
              <w:t xml:space="preserve">Déranger </w:t>
            </w:r>
            <w:r>
              <w:rPr>
                <w:rFonts w:ascii="Calibri" w:hAnsi="Calibri"/>
                <w:bCs/>
                <w:color w:val="000000"/>
                <w:sz w:val="18"/>
                <w:szCs w:val="18"/>
              </w:rPr>
              <w:t xml:space="preserve">fortement </w:t>
            </w:r>
            <w:r>
              <w:rPr>
                <w:rFonts w:ascii="Calibri" w:hAnsi="Calibri"/>
                <w:bCs/>
                <w:sz w:val="18"/>
                <w:szCs w:val="18"/>
              </w:rPr>
              <w:t>et r</w:t>
            </w:r>
            <w:r>
              <w:rPr>
                <w:rFonts w:ascii="Calibri" w:hAnsi="Calibri"/>
                <w:color w:val="000000"/>
                <w:sz w:val="18"/>
                <w:szCs w:val="18"/>
              </w:rPr>
              <w:t>éguler les sangliers surabondants au sein de la réserve naturelle</w:t>
            </w:r>
          </w:p>
        </w:tc>
      </w:tr>
      <w:tr>
        <w:trPr>
          <w:trHeight w:hRule="atLeast" w:val="1109"/>
          <w:cantSplit w:val="false"/>
        </w:trPr>
        <w:tc>
          <w:tcPr>
            <w:tcW w:type="dxa" w:w="1289"/>
            <w:tcBorders>
              <w:top w:color="00000A" w:space="0" w:sz="8" w:val="single"/>
              <w:left w:color="00000A" w:space="0" w:sz="8" w:val="single"/>
              <w:bottom w:color="00000A" w:space="0" w:sz="8" w:val="single"/>
              <w:right w:color="00000A" w:space="0" w:sz="4" w:val="single"/>
            </w:tcBorders>
            <w:shd w:fill="F2F2F2" w:val="clear"/>
            <w:tcMar>
              <w:left w:type="dxa" w:w="83"/>
            </w:tcMar>
            <w:vAlign w:val="center"/>
          </w:tcPr>
          <w:p>
            <w:pPr>
              <w:pStyle w:val="style0"/>
              <w:spacing w:after="0" w:before="0"/>
              <w:contextualSpacing/>
              <w:rPr>
                <w:rFonts w:ascii="Calibri" w:hAnsi="Calibri"/>
                <w:b/>
                <w:sz w:val="18"/>
                <w:szCs w:val="18"/>
              </w:rPr>
            </w:pPr>
            <w:r>
              <w:rPr>
                <w:rFonts w:ascii="Calibri" w:hAnsi="Calibri"/>
                <w:b/>
                <w:sz w:val="18"/>
                <w:szCs w:val="18"/>
              </w:rPr>
              <w:t>Période et fréquence</w:t>
            </w:r>
          </w:p>
        </w:tc>
        <w:tc>
          <w:tcPr>
            <w:tcW w:type="dxa" w:w="4059"/>
            <w:tcBorders>
              <w:top w:color="00000A" w:space="0" w:sz="8" w:val="single"/>
              <w:left w:color="00000A" w:space="0" w:sz="4" w:val="single"/>
              <w:bottom w:color="00000A" w:space="0" w:sz="8" w:val="single"/>
              <w:right w:color="00000A" w:space="0" w:sz="4" w:val="single"/>
            </w:tcBorders>
            <w:shd w:fill="FFFFFF" w:val="clear"/>
            <w:tcMar>
              <w:left w:type="dxa" w:w="98"/>
            </w:tcMar>
            <w:vAlign w:val="center"/>
          </w:tcPr>
          <w:p>
            <w:pPr>
              <w:pStyle w:val="style0"/>
              <w:spacing w:after="0" w:before="0"/>
              <w:contextualSpacing/>
              <w:rPr>
                <w:rFonts w:ascii="Calibri" w:hAnsi="Calibri"/>
                <w:sz w:val="18"/>
                <w:szCs w:val="18"/>
              </w:rPr>
            </w:pPr>
            <w:r>
              <w:rPr>
                <w:rFonts w:ascii="Calibri" w:hAnsi="Calibri"/>
                <w:sz w:val="18"/>
                <w:szCs w:val="18"/>
              </w:rPr>
              <w:t>Annuel,</w:t>
            </w:r>
          </w:p>
          <w:p>
            <w:pPr>
              <w:pStyle w:val="style0"/>
              <w:spacing w:after="0" w:before="0"/>
              <w:contextualSpacing/>
              <w:rPr>
                <w:rFonts w:ascii="Calibri" w:hAnsi="Calibri"/>
                <w:sz w:val="18"/>
                <w:szCs w:val="18"/>
              </w:rPr>
            </w:pPr>
            <w:r>
              <w:rPr>
                <w:rFonts w:ascii="Calibri" w:hAnsi="Calibri"/>
                <w:sz w:val="18"/>
                <w:szCs w:val="18"/>
              </w:rPr>
              <w:t>de mi-novembre à mi-mars</w:t>
            </w:r>
          </w:p>
          <w:p>
            <w:pPr>
              <w:pStyle w:val="style0"/>
              <w:spacing w:after="0" w:before="0"/>
              <w:contextualSpacing/>
              <w:rPr>
                <w:rFonts w:ascii="Calibri" w:hAnsi="Calibri"/>
                <w:sz w:val="18"/>
                <w:szCs w:val="18"/>
              </w:rPr>
            </w:pPr>
            <w:r>
              <w:rPr>
                <w:rFonts w:ascii="Calibri" w:hAnsi="Calibri"/>
                <w:i/>
                <w:sz w:val="18"/>
                <w:szCs w:val="18"/>
              </w:rPr>
              <w:t>à raison d’au moins 3 interventions sur chacun des 3 secteurs</w:t>
            </w:r>
            <w:r>
              <w:rPr>
                <w:rFonts w:ascii="Calibri" w:hAnsi="Calibri"/>
                <w:sz w:val="18"/>
                <w:szCs w:val="18"/>
              </w:rPr>
              <w:t>.</w:t>
            </w:r>
          </w:p>
        </w:tc>
        <w:tc>
          <w:tcPr>
            <w:tcW w:type="dxa" w:w="3827"/>
            <w:tcBorders>
              <w:top w:color="00000A" w:space="0" w:sz="8" w:val="single"/>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contextualSpacing/>
              <w:rPr>
                <w:rFonts w:ascii="Calibri" w:hAnsi="Calibri"/>
                <w:color w:val="000000"/>
                <w:sz w:val="18"/>
                <w:szCs w:val="18"/>
              </w:rPr>
            </w:pPr>
            <w:r>
              <w:rPr>
                <w:rFonts w:ascii="Calibri" w:hAnsi="Calibri"/>
                <w:sz w:val="18"/>
                <w:szCs w:val="18"/>
              </w:rPr>
              <w:t xml:space="preserve">Ponctuel si nécessaire, </w:t>
            </w:r>
            <w:r>
              <w:rPr>
                <w:rFonts w:ascii="Calibri" w:hAnsi="Calibri"/>
                <w:b/>
                <w:sz w:val="18"/>
                <w:szCs w:val="18"/>
              </w:rPr>
              <w:t>et h</w:t>
            </w:r>
            <w:r>
              <w:rPr>
                <w:rFonts w:ascii="Calibri" w:hAnsi="Calibri"/>
                <w:b/>
                <w:color w:val="000000"/>
                <w:sz w:val="18"/>
                <w:szCs w:val="18"/>
              </w:rPr>
              <w:t>ors des périodes sensibles pour le reste de la faune et en particulier pour l’avifaune</w:t>
            </w:r>
            <w:r>
              <w:rPr>
                <w:rFonts w:ascii="Calibri" w:hAnsi="Calibri"/>
                <w:color w:val="000000"/>
                <w:sz w:val="18"/>
                <w:szCs w:val="18"/>
              </w:rPr>
              <w:t xml:space="preserve"> : </w:t>
            </w:r>
          </w:p>
          <w:p>
            <w:pPr>
              <w:pStyle w:val="style0"/>
              <w:spacing w:after="0" w:before="0"/>
              <w:contextualSpacing/>
              <w:rPr>
                <w:rFonts w:ascii="Calibri" w:hAnsi="Calibri"/>
                <w:i/>
                <w:sz w:val="18"/>
                <w:szCs w:val="18"/>
              </w:rPr>
            </w:pPr>
            <w:r>
              <w:rPr>
                <w:rFonts w:ascii="Calibri" w:hAnsi="Calibri"/>
                <w:sz w:val="18"/>
                <w:szCs w:val="18"/>
                <w:u w:val="single"/>
              </w:rPr>
              <w:t>«battues» d’automne :</w:t>
            </w:r>
            <w:r>
              <w:rPr>
                <w:rFonts w:ascii="Calibri" w:hAnsi="Calibri"/>
                <w:sz w:val="18"/>
                <w:szCs w:val="18"/>
              </w:rPr>
              <w:t xml:space="preserve"> entre fin septembre et mi-novembre </w:t>
            </w:r>
            <w:r>
              <w:rPr>
                <w:rFonts w:ascii="Calibri" w:hAnsi="Calibri"/>
                <w:i/>
                <w:sz w:val="18"/>
                <w:szCs w:val="18"/>
              </w:rPr>
              <w:t xml:space="preserve">(période préférentielle au regard des enjeux de quiétude de l’avifaune) : </w:t>
            </w:r>
          </w:p>
          <w:p>
            <w:pPr>
              <w:pStyle w:val="style0"/>
              <w:spacing w:after="0" w:before="0"/>
              <w:contextualSpacing/>
              <w:rPr>
                <w:rFonts w:ascii="Calibri" w:hAnsi="Calibri"/>
                <w:sz w:val="18"/>
                <w:szCs w:val="18"/>
              </w:rPr>
            </w:pPr>
            <w:r>
              <w:rPr>
                <w:rFonts w:ascii="Calibri" w:hAnsi="Calibri"/>
                <w:sz w:val="18"/>
                <w:szCs w:val="18"/>
              </w:rPr>
              <w:t xml:space="preserve"> </w:t>
            </w:r>
            <w:r>
              <w:rPr>
                <w:rFonts w:ascii="Calibri" w:hAnsi="Calibri"/>
                <w:sz w:val="18"/>
                <w:szCs w:val="18"/>
                <w:u w:val="single"/>
              </w:rPr>
              <w:t>«battue fin d’hiver»</w:t>
            </w:r>
            <w:r>
              <w:rPr>
                <w:rFonts w:ascii="Calibri" w:hAnsi="Calibri"/>
                <w:sz w:val="18"/>
                <w:szCs w:val="18"/>
              </w:rPr>
              <w:t> : mi-mars - fin mars</w:t>
            </w:r>
          </w:p>
        </w:tc>
      </w:tr>
      <w:tr>
        <w:trPr>
          <w:cantSplit w:val="false"/>
        </w:trPr>
        <w:tc>
          <w:tcPr>
            <w:tcW w:type="dxa" w:w="1289"/>
            <w:vMerge w:val="restart"/>
            <w:tcBorders>
              <w:top w:color="00000A" w:space="0" w:sz="8" w:val="single"/>
              <w:left w:color="00000A" w:space="0" w:sz="8" w:val="single"/>
              <w:bottom w:color="00000A" w:space="0" w:sz="4" w:val="single"/>
              <w:right w:color="00000A" w:space="0" w:sz="4" w:val="single"/>
            </w:tcBorders>
            <w:shd w:fill="F2F2F2" w:val="clear"/>
            <w:tcMar>
              <w:left w:type="dxa" w:w="83"/>
            </w:tcMar>
            <w:vAlign w:val="center"/>
          </w:tcPr>
          <w:p>
            <w:pPr>
              <w:pStyle w:val="style0"/>
              <w:spacing w:after="113" w:before="0"/>
              <w:contextualSpacing/>
              <w:rPr>
                <w:rFonts w:ascii="Calibri" w:hAnsi="Calibri"/>
                <w:b/>
                <w:sz w:val="18"/>
                <w:szCs w:val="18"/>
              </w:rPr>
            </w:pPr>
            <w:r>
              <w:rPr>
                <w:rFonts w:ascii="Calibri" w:hAnsi="Calibri"/>
                <w:b/>
                <w:sz w:val="18"/>
                <w:szCs w:val="18"/>
              </w:rPr>
              <w:t>Principe d’intervention</w:t>
            </w:r>
          </w:p>
        </w:tc>
        <w:tc>
          <w:tcPr>
            <w:tcW w:type="dxa" w:w="4059"/>
            <w:vMerge w:val="restart"/>
            <w:tcBorders>
              <w:top w:color="00000A" w:space="0" w:sz="8" w:val="single"/>
              <w:left w:color="00000A" w:space="0" w:sz="4" w:val="single"/>
              <w:bottom w:color="00000A" w:space="0" w:sz="4" w:val="single"/>
              <w:right w:color="00000A" w:space="0" w:sz="4" w:val="single"/>
            </w:tcBorders>
            <w:shd w:fill="FFFFFF" w:val="clear"/>
            <w:tcMar>
              <w:left w:type="dxa" w:w="98"/>
            </w:tcMar>
            <w:vAlign w:val="center"/>
          </w:tcPr>
          <w:p>
            <w:pPr>
              <w:pStyle w:val="style0"/>
              <w:spacing w:after="113" w:before="0"/>
              <w:contextualSpacing/>
              <w:rPr>
                <w:rFonts w:ascii="Calibri" w:hAnsi="Calibri"/>
                <w:sz w:val="18"/>
                <w:szCs w:val="18"/>
              </w:rPr>
            </w:pPr>
            <w:r>
              <w:rPr>
                <w:rFonts w:ascii="Calibri" w:hAnsi="Calibri"/>
                <w:sz w:val="18"/>
                <w:szCs w:val="18"/>
              </w:rPr>
              <w:t>Ligne de rabatteurs silencieux, tireurs à l’arc postés près des coulées de fuite des sangliers.</w:t>
            </w:r>
          </w:p>
        </w:tc>
        <w:tc>
          <w:tcPr>
            <w:tcW w:type="dxa" w:w="3827"/>
            <w:tcBorders>
              <w:top w:color="00000A" w:space="0" w:sz="8" w:val="single"/>
              <w:left w:color="00000A" w:space="0" w:sz="8" w:val="single"/>
              <w:bottom w:color="00000A" w:space="0" w:sz="4" w:val="single"/>
              <w:right w:color="00000A" w:space="0" w:sz="8" w:val="single"/>
            </w:tcBorders>
            <w:shd w:fill="FFFFFF" w:val="clear"/>
            <w:tcMar>
              <w:left w:type="dxa" w:w="88"/>
            </w:tcMar>
            <w:vAlign w:val="center"/>
          </w:tcPr>
          <w:p>
            <w:pPr>
              <w:pStyle w:val="style0"/>
              <w:spacing w:after="113" w:before="0"/>
              <w:contextualSpacing/>
              <w:rPr>
                <w:rFonts w:ascii="Calibri" w:hAnsi="Calibri"/>
                <w:sz w:val="18"/>
                <w:szCs w:val="18"/>
              </w:rPr>
            </w:pPr>
            <w:r>
              <w:rPr>
                <w:rFonts w:ascii="Calibri" w:hAnsi="Calibri"/>
                <w:sz w:val="18"/>
                <w:szCs w:val="18"/>
              </w:rPr>
              <w:t xml:space="preserve">Rabat « à cor et à cri » des sangliers par des traqueurs et des chiens </w:t>
            </w:r>
            <w:bookmarkStart w:id="1" w:name="_GoBack"/>
            <w:r>
              <w:rPr>
                <w:rFonts w:ascii="Calibri" w:hAnsi="Calibri"/>
                <w:color w:val="FF0000"/>
                <w:sz w:val="18"/>
                <w:szCs w:val="18"/>
              </w:rPr>
              <w:t>créancés</w:t>
            </w:r>
            <w:bookmarkEnd w:id="1"/>
            <w:r>
              <w:rPr>
                <w:rFonts w:ascii="Calibri" w:hAnsi="Calibri"/>
                <w:sz w:val="18"/>
                <w:szCs w:val="18"/>
              </w:rPr>
              <w:t xml:space="preserve"> vers des tireurs au fusil postés.</w:t>
            </w:r>
          </w:p>
        </w:tc>
      </w:tr>
      <w:tr>
        <w:trPr>
          <w:cantSplit w:val="false"/>
        </w:trPr>
        <w:tc>
          <w:tcPr>
            <w:tcW w:type="dxa" w:w="1289"/>
            <w:vMerge w:val="continue"/>
            <w:tcBorders>
              <w:top w:color="00000A" w:space="0" w:sz="8" w:val="single"/>
              <w:left w:color="00000A" w:space="0" w:sz="8" w:val="single"/>
              <w:bottom w:color="00000A" w:space="0" w:sz="4" w:val="single"/>
              <w:right w:color="00000A" w:space="0" w:sz="4" w:val="single"/>
            </w:tcBorders>
            <w:shd w:fill="F2F2F2" w:val="clear"/>
            <w:tcMar>
              <w:left w:type="dxa" w:w="83"/>
            </w:tcMar>
            <w:vAlign w:val="center"/>
          </w:tcPr>
          <w:p>
            <w:pPr>
              <w:pStyle w:val="style0"/>
              <w:spacing w:after="113" w:before="0"/>
              <w:contextualSpacing/>
              <w:rPr>
                <w:rFonts w:ascii="Calibri" w:hAnsi="Calibri"/>
              </w:rPr>
            </w:pPr>
            <w:r>
              <w:rPr>
                <w:rFonts w:ascii="Calibri" w:hAnsi="Calibri"/>
              </w:rPr>
            </w:r>
          </w:p>
        </w:tc>
        <w:tc>
          <w:tcPr>
            <w:tcW w:type="dxa" w:w="4059"/>
            <w:vMerge w:val="continue"/>
            <w:tcBorders>
              <w:top w:color="00000A" w:space="0" w:sz="8" w:val="single"/>
              <w:left w:color="00000A" w:space="0" w:sz="4" w:val="single"/>
              <w:bottom w:color="00000A" w:space="0" w:sz="4" w:val="single"/>
              <w:right w:color="00000A" w:space="0" w:sz="4" w:val="single"/>
            </w:tcBorders>
            <w:shd w:fill="FFFFFF" w:val="clear"/>
            <w:tcMar>
              <w:left w:type="dxa" w:w="98"/>
            </w:tcMar>
            <w:vAlign w:val="center"/>
          </w:tcPr>
          <w:p>
            <w:pPr>
              <w:pStyle w:val="style0"/>
              <w:spacing w:after="113" w:before="0"/>
              <w:contextualSpacing/>
              <w:rPr>
                <w:rFonts w:ascii="Calibri" w:hAnsi="Calibri"/>
              </w:rPr>
            </w:pPr>
            <w:r>
              <w:rPr>
                <w:rFonts w:ascii="Calibri" w:hAnsi="Calibri"/>
              </w:rPr>
            </w:r>
          </w:p>
        </w:tc>
        <w:tc>
          <w:tcPr>
            <w:tcW w:type="dxa" w:w="3827"/>
            <w:tcBorders>
              <w:top w:color="00000A" w:space="0" w:sz="8" w:val="single"/>
              <w:left w:color="00000A" w:space="0" w:sz="8" w:val="single"/>
              <w:bottom w:color="00000A" w:space="0" w:sz="8" w:val="single"/>
              <w:right w:color="00000A" w:space="0" w:sz="8" w:val="single"/>
            </w:tcBorders>
            <w:shd w:fill="FFFFFF" w:val="clear"/>
            <w:tcMar>
              <w:left w:type="dxa" w:w="88"/>
            </w:tcMar>
            <w:vAlign w:val="center"/>
          </w:tcPr>
          <w:p>
            <w:pPr>
              <w:pStyle w:val="style0"/>
              <w:spacing w:after="113" w:before="0"/>
              <w:contextualSpacing/>
              <w:rPr>
                <w:rFonts w:ascii="Calibri" w:hAnsi="Calibri"/>
                <w:i/>
                <w:color w:val="000000"/>
                <w:sz w:val="18"/>
                <w:szCs w:val="18"/>
              </w:rPr>
            </w:pPr>
            <w:r>
              <w:rPr>
                <w:rFonts w:ascii="Calibri" w:hAnsi="Calibri"/>
                <w:i/>
                <w:sz w:val="18"/>
                <w:szCs w:val="18"/>
              </w:rPr>
              <w:t>Déclenchement </w:t>
            </w:r>
            <w:r>
              <w:rPr>
                <w:rFonts w:ascii="Calibri" w:hAnsi="Calibri"/>
                <w:i/>
                <w:color w:val="000000"/>
                <w:sz w:val="18"/>
                <w:szCs w:val="18"/>
              </w:rPr>
              <w:t>et modalités d’organisation spécifique voir détails ci-dessous</w:t>
            </w:r>
          </w:p>
        </w:tc>
      </w:tr>
      <w:tr>
        <w:trPr>
          <w:cantSplit w:val="false"/>
        </w:trPr>
        <w:tc>
          <w:tcPr>
            <w:tcW w:type="dxa" w:w="1289"/>
            <w:tcBorders>
              <w:top w:color="00000A" w:space="0" w:sz="8" w:val="single"/>
              <w:left w:color="00000A" w:space="0" w:sz="8" w:val="single"/>
              <w:bottom w:color="00000A" w:space="0" w:sz="8" w:val="single"/>
              <w:right w:color="00000A" w:space="0" w:sz="4" w:val="single"/>
            </w:tcBorders>
            <w:shd w:fill="F2F2F2" w:val="clear"/>
            <w:tcMar>
              <w:left w:type="dxa" w:w="83"/>
            </w:tcMar>
            <w:vAlign w:val="center"/>
          </w:tcPr>
          <w:p>
            <w:pPr>
              <w:pStyle w:val="style0"/>
              <w:spacing w:after="113" w:before="0"/>
              <w:contextualSpacing/>
              <w:rPr>
                <w:rFonts w:ascii="Calibri" w:hAnsi="Calibri"/>
                <w:b/>
                <w:sz w:val="18"/>
                <w:szCs w:val="18"/>
              </w:rPr>
            </w:pPr>
            <w:r>
              <w:rPr>
                <w:rFonts w:ascii="Calibri" w:hAnsi="Calibri"/>
                <w:b/>
                <w:sz w:val="18"/>
                <w:szCs w:val="18"/>
              </w:rPr>
              <w:t>Réalisé par</w:t>
            </w:r>
          </w:p>
        </w:tc>
        <w:tc>
          <w:tcPr>
            <w:tcW w:type="dxa" w:w="4059"/>
            <w:tcBorders>
              <w:top w:color="00000A" w:space="0" w:sz="8" w:val="single"/>
              <w:left w:color="00000A" w:space="0" w:sz="4" w:val="single"/>
              <w:bottom w:color="00000A" w:space="0" w:sz="8" w:val="single"/>
              <w:right w:color="00000A" w:space="0" w:sz="4" w:val="single"/>
            </w:tcBorders>
            <w:shd w:fill="FFFFFF" w:val="clear"/>
            <w:tcMar>
              <w:left w:type="dxa" w:w="98"/>
            </w:tcMar>
            <w:vAlign w:val="center"/>
          </w:tcPr>
          <w:p>
            <w:pPr>
              <w:pStyle w:val="style0"/>
              <w:spacing w:after="113" w:before="0"/>
              <w:contextualSpacing/>
              <w:rPr>
                <w:rFonts w:ascii="Calibri" w:hAnsi="Calibri"/>
                <w:color w:val="000000"/>
                <w:sz w:val="18"/>
                <w:szCs w:val="18"/>
              </w:rPr>
            </w:pPr>
            <w:r>
              <w:rPr>
                <w:rFonts w:ascii="Calibri" w:hAnsi="Calibri"/>
                <w:color w:val="000000"/>
                <w:sz w:val="18"/>
                <w:szCs w:val="18"/>
              </w:rPr>
              <w:t>Association des chasseurs à l'arc du Cher et de la Nièvre</w:t>
            </w:r>
          </w:p>
        </w:tc>
        <w:tc>
          <w:tcPr>
            <w:tcW w:type="dxa" w:w="3827"/>
            <w:tcBorders>
              <w:top w:color="00000A" w:space="0" w:sz="8" w:val="single"/>
              <w:left w:color="00000A" w:space="0" w:sz="8" w:val="single"/>
              <w:bottom w:color="00000A" w:space="0" w:sz="8" w:val="single"/>
              <w:right w:color="00000A" w:space="0" w:sz="8" w:val="single"/>
            </w:tcBorders>
            <w:shd w:fill="FFFFFF" w:val="clear"/>
            <w:tcMar>
              <w:left w:type="dxa" w:w="88"/>
            </w:tcMar>
            <w:vAlign w:val="center"/>
          </w:tcPr>
          <w:p>
            <w:pPr>
              <w:pStyle w:val="style0"/>
              <w:spacing w:after="113" w:before="0"/>
              <w:ind w:firstLine="31" w:left="0" w:right="0"/>
              <w:contextualSpacing/>
              <w:rPr>
                <w:rFonts w:ascii="Calibri" w:hAnsi="Calibri"/>
                <w:color w:val="000000"/>
                <w:sz w:val="18"/>
                <w:szCs w:val="18"/>
              </w:rPr>
            </w:pPr>
            <w:r>
              <w:rPr>
                <w:rFonts w:ascii="Calibri" w:hAnsi="Calibri"/>
                <w:color w:val="000000"/>
                <w:sz w:val="18"/>
                <w:szCs w:val="18"/>
              </w:rPr>
              <w:t>Lieutenants de louveterie 18-58 – ONCFS 18-58</w:t>
            </w:r>
          </w:p>
        </w:tc>
      </w:tr>
      <w:tr>
        <w:trPr>
          <w:cantSplit w:val="false"/>
        </w:trPr>
        <w:tc>
          <w:tcPr>
            <w:tcW w:type="dxa" w:w="1289"/>
            <w:tcBorders>
              <w:top w:color="00000A" w:space="0" w:sz="8" w:val="single"/>
              <w:left w:color="00000A" w:space="0" w:sz="8" w:val="single"/>
              <w:bottom w:color="00000A" w:space="0" w:sz="8" w:val="single"/>
              <w:right w:color="00000A" w:space="0" w:sz="4" w:val="single"/>
            </w:tcBorders>
            <w:shd w:fill="F2F2F2" w:val="clear"/>
            <w:tcMar>
              <w:left w:type="dxa" w:w="83"/>
            </w:tcMar>
            <w:vAlign w:val="center"/>
          </w:tcPr>
          <w:p>
            <w:pPr>
              <w:pStyle w:val="style0"/>
              <w:spacing w:after="113" w:before="0"/>
              <w:contextualSpacing/>
              <w:rPr>
                <w:rFonts w:ascii="Calibri" w:hAnsi="Calibri"/>
                <w:b/>
                <w:sz w:val="18"/>
                <w:szCs w:val="18"/>
              </w:rPr>
            </w:pPr>
            <w:r>
              <w:rPr>
                <w:rFonts w:ascii="Calibri" w:hAnsi="Calibri"/>
                <w:b/>
                <w:sz w:val="18"/>
                <w:szCs w:val="18"/>
              </w:rPr>
              <w:t>Coordonné par</w:t>
            </w:r>
          </w:p>
        </w:tc>
        <w:tc>
          <w:tcPr>
            <w:tcW w:type="dxa" w:w="4059"/>
            <w:tcBorders>
              <w:top w:color="00000A" w:space="0" w:sz="8" w:val="single"/>
              <w:left w:color="00000A" w:space="0" w:sz="4" w:val="single"/>
              <w:bottom w:color="00000A" w:space="0" w:sz="8" w:val="single"/>
              <w:right w:color="00000A" w:space="0" w:sz="4" w:val="single"/>
            </w:tcBorders>
            <w:shd w:fill="FFFFFF" w:val="clear"/>
            <w:tcMar>
              <w:left w:type="dxa" w:w="98"/>
            </w:tcMar>
            <w:vAlign w:val="center"/>
          </w:tcPr>
          <w:p>
            <w:pPr>
              <w:pStyle w:val="style0"/>
              <w:spacing w:after="113" w:before="0"/>
              <w:contextualSpacing/>
              <w:rPr>
                <w:rFonts w:ascii="Calibri" w:hAnsi="Calibri"/>
                <w:sz w:val="18"/>
                <w:szCs w:val="18"/>
              </w:rPr>
            </w:pPr>
            <w:r>
              <w:rPr>
                <w:rFonts w:ascii="Calibri" w:hAnsi="Calibri"/>
                <w:sz w:val="18"/>
                <w:szCs w:val="18"/>
              </w:rPr>
              <w:t>Gestionnaire de la réserve naturelle :</w:t>
            </w:r>
          </w:p>
          <w:p>
            <w:pPr>
              <w:pStyle w:val="style0"/>
              <w:widowControl/>
              <w:numPr>
                <w:ilvl w:val="0"/>
                <w:numId w:val="1"/>
              </w:numPr>
              <w:spacing w:after="0" w:before="0"/>
              <w:ind w:hanging="360" w:left="394" w:right="0"/>
              <w:contextualSpacing/>
              <w:rPr>
                <w:rFonts w:ascii="Calibri" w:cs="Verdana" w:hAnsi="Calibri"/>
                <w:i/>
                <w:sz w:val="18"/>
                <w:szCs w:val="18"/>
              </w:rPr>
            </w:pPr>
            <w:r>
              <w:rPr>
                <w:rFonts w:ascii="Calibri" w:cs="Verdana" w:hAnsi="Calibri"/>
                <w:i/>
                <w:sz w:val="18"/>
                <w:szCs w:val="18"/>
              </w:rPr>
              <w:t xml:space="preserve"> </w:t>
            </w:r>
            <w:r>
              <w:rPr>
                <w:rFonts w:ascii="Calibri" w:cs="Verdana" w:hAnsi="Calibri"/>
                <w:i/>
                <w:sz w:val="18"/>
                <w:szCs w:val="18"/>
              </w:rPr>
              <w:t>Préparation des éléments techniques pour la prise de l’arrêté annuel,</w:t>
            </w:r>
          </w:p>
          <w:p>
            <w:pPr>
              <w:pStyle w:val="style0"/>
              <w:widowControl/>
              <w:numPr>
                <w:ilvl w:val="0"/>
                <w:numId w:val="1"/>
              </w:numPr>
              <w:spacing w:after="0" w:before="0"/>
              <w:ind w:hanging="360" w:left="394" w:right="0"/>
              <w:contextualSpacing/>
              <w:rPr>
                <w:rFonts w:ascii="Calibri" w:cs="Verdana" w:hAnsi="Calibri"/>
                <w:i/>
                <w:sz w:val="18"/>
                <w:szCs w:val="18"/>
              </w:rPr>
            </w:pPr>
            <w:r>
              <w:rPr>
                <w:rFonts w:ascii="Calibri" w:cs="Verdana" w:hAnsi="Calibri"/>
                <w:i/>
                <w:sz w:val="18"/>
                <w:szCs w:val="18"/>
              </w:rPr>
              <w:t xml:space="preserve"> </w:t>
            </w:r>
            <w:r>
              <w:rPr>
                <w:rFonts w:ascii="Calibri" w:cs="Verdana" w:hAnsi="Calibri"/>
                <w:i/>
                <w:sz w:val="18"/>
                <w:szCs w:val="18"/>
              </w:rPr>
              <w:t>définition les niveaux de priorité d'intervention sur les trois secteurs selon abondance constatée,</w:t>
            </w:r>
          </w:p>
          <w:p>
            <w:pPr>
              <w:pStyle w:val="style0"/>
              <w:widowControl/>
              <w:numPr>
                <w:ilvl w:val="0"/>
                <w:numId w:val="1"/>
              </w:numPr>
              <w:spacing w:after="0" w:before="0"/>
              <w:ind w:hanging="360" w:left="394" w:right="0"/>
              <w:contextualSpacing/>
              <w:rPr>
                <w:rFonts w:ascii="Calibri" w:cs="Verdana" w:hAnsi="Calibri"/>
                <w:i/>
                <w:sz w:val="18"/>
                <w:szCs w:val="18"/>
              </w:rPr>
            </w:pPr>
            <w:r>
              <w:rPr>
                <w:rFonts w:ascii="Calibri" w:cs="Verdana" w:hAnsi="Calibri"/>
                <w:i/>
                <w:sz w:val="18"/>
                <w:szCs w:val="18"/>
              </w:rPr>
              <w:t xml:space="preserve"> </w:t>
            </w:r>
            <w:r>
              <w:rPr>
                <w:rFonts w:ascii="Calibri" w:cs="Verdana" w:hAnsi="Calibri"/>
                <w:i/>
                <w:sz w:val="18"/>
                <w:szCs w:val="18"/>
              </w:rPr>
              <w:t>Informations les chasses riveraines de la tenue des opérations et les inviter à participer,</w:t>
            </w:r>
          </w:p>
          <w:p>
            <w:pPr>
              <w:pStyle w:val="style0"/>
              <w:widowControl/>
              <w:numPr>
                <w:ilvl w:val="0"/>
                <w:numId w:val="1"/>
              </w:numPr>
              <w:spacing w:after="0" w:before="0"/>
              <w:ind w:hanging="360" w:left="394" w:right="0"/>
              <w:contextualSpacing/>
              <w:rPr>
                <w:rFonts w:ascii="Calibri" w:cs="Verdana" w:hAnsi="Calibri"/>
                <w:i/>
                <w:sz w:val="18"/>
                <w:szCs w:val="18"/>
              </w:rPr>
            </w:pPr>
            <w:r>
              <w:rPr>
                <w:rFonts w:ascii="Calibri" w:cs="Verdana" w:hAnsi="Calibri"/>
                <w:i/>
                <w:sz w:val="18"/>
                <w:szCs w:val="18"/>
              </w:rPr>
              <w:t xml:space="preserve"> </w:t>
            </w:r>
            <w:r>
              <w:rPr>
                <w:rFonts w:ascii="Calibri" w:cs="Verdana" w:hAnsi="Calibri"/>
                <w:i/>
                <w:sz w:val="18"/>
                <w:szCs w:val="18"/>
              </w:rPr>
              <w:t>s'assurer du bon déroulement des interventions,</w:t>
            </w:r>
          </w:p>
          <w:p>
            <w:pPr>
              <w:pStyle w:val="style0"/>
              <w:widowControl/>
              <w:numPr>
                <w:ilvl w:val="0"/>
                <w:numId w:val="1"/>
              </w:numPr>
              <w:spacing w:after="0" w:before="0"/>
              <w:ind w:hanging="360" w:left="394" w:right="0"/>
              <w:contextualSpacing/>
              <w:rPr>
                <w:rFonts w:ascii="Calibri" w:cs="Verdana" w:hAnsi="Calibri"/>
                <w:i/>
                <w:sz w:val="18"/>
                <w:szCs w:val="18"/>
              </w:rPr>
            </w:pPr>
            <w:r>
              <w:rPr>
                <w:rFonts w:ascii="Calibri" w:cs="Verdana" w:hAnsi="Calibri"/>
                <w:i/>
                <w:sz w:val="18"/>
                <w:szCs w:val="18"/>
              </w:rPr>
              <w:t xml:space="preserve"> </w:t>
            </w:r>
            <w:r>
              <w:rPr>
                <w:rFonts w:ascii="Calibri" w:cs="Verdana" w:hAnsi="Calibri"/>
                <w:i/>
                <w:sz w:val="18"/>
                <w:szCs w:val="18"/>
              </w:rPr>
              <w:t>contrôler ou réaliser l’analyse des bilans hebdomadaires</w:t>
            </w:r>
          </w:p>
          <w:p>
            <w:pPr>
              <w:pStyle w:val="style0"/>
              <w:spacing w:after="113" w:before="0"/>
              <w:contextualSpacing/>
              <w:rPr>
                <w:rFonts w:ascii="Calibri" w:hAnsi="Calibri"/>
                <w:i/>
                <w:sz w:val="18"/>
                <w:szCs w:val="18"/>
              </w:rPr>
            </w:pPr>
            <w:r>
              <w:rPr>
                <w:rFonts w:ascii="Calibri" w:hAnsi="Calibri"/>
                <w:i/>
                <w:sz w:val="18"/>
                <w:szCs w:val="18"/>
              </w:rPr>
              <w:t>- informer les partenaires des résultats et de l’évolution du dispositif.</w:t>
            </w:r>
          </w:p>
        </w:tc>
        <w:tc>
          <w:tcPr>
            <w:tcW w:type="dxa" w:w="3827"/>
            <w:tcBorders>
              <w:top w:color="00000A" w:space="0" w:sz="8" w:val="single"/>
              <w:left w:color="00000A" w:space="0" w:sz="8" w:val="single"/>
              <w:bottom w:color="00000A" w:space="0" w:sz="8" w:val="single"/>
              <w:right w:color="00000A" w:space="0" w:sz="8" w:val="single"/>
            </w:tcBorders>
            <w:shd w:fill="FFFFFF" w:val="clear"/>
            <w:tcMar>
              <w:left w:type="dxa" w:w="88"/>
            </w:tcMar>
            <w:vAlign w:val="center"/>
          </w:tcPr>
          <w:p>
            <w:pPr>
              <w:pStyle w:val="style0"/>
              <w:spacing w:after="113" w:before="0"/>
              <w:contextualSpacing/>
              <w:rPr>
                <w:rFonts w:ascii="Calibri" w:hAnsi="Calibri"/>
                <w:sz w:val="18"/>
                <w:szCs w:val="18"/>
              </w:rPr>
            </w:pPr>
            <w:r>
              <w:rPr>
                <w:rFonts w:ascii="Calibri" w:hAnsi="Calibri"/>
                <w:sz w:val="18"/>
                <w:szCs w:val="18"/>
              </w:rPr>
              <w:t>Lieutenants de louveterie 18-58</w:t>
            </w:r>
          </w:p>
        </w:tc>
      </w:tr>
      <w:tr>
        <w:trPr>
          <w:cantSplit w:val="false"/>
        </w:trPr>
        <w:tc>
          <w:tcPr>
            <w:tcW w:type="dxa" w:w="1289"/>
            <w:tcBorders>
              <w:top w:color="00000A" w:space="0" w:sz="8" w:val="single"/>
              <w:left w:color="00000A" w:space="0" w:sz="8" w:val="single"/>
              <w:bottom w:color="00000A" w:space="0" w:sz="8" w:val="single"/>
              <w:right w:color="00000A" w:space="0" w:sz="4" w:val="single"/>
            </w:tcBorders>
            <w:shd w:fill="F2F2F2" w:val="clear"/>
            <w:tcMar>
              <w:left w:type="dxa" w:w="83"/>
            </w:tcMar>
            <w:vAlign w:val="center"/>
          </w:tcPr>
          <w:p>
            <w:pPr>
              <w:pStyle w:val="style0"/>
              <w:spacing w:after="113" w:before="0"/>
              <w:contextualSpacing/>
              <w:rPr>
                <w:rFonts w:ascii="Calibri" w:hAnsi="Calibri"/>
                <w:b/>
                <w:sz w:val="18"/>
                <w:szCs w:val="18"/>
              </w:rPr>
            </w:pPr>
            <w:r>
              <w:rPr>
                <w:rFonts w:ascii="Calibri" w:hAnsi="Calibri"/>
                <w:b/>
                <w:sz w:val="18"/>
                <w:szCs w:val="18"/>
              </w:rPr>
              <w:t>Avec l’assistance de</w:t>
            </w:r>
          </w:p>
        </w:tc>
        <w:tc>
          <w:tcPr>
            <w:tcW w:type="dxa" w:w="4059"/>
            <w:tcBorders>
              <w:top w:color="00000A" w:space="0" w:sz="8" w:val="single"/>
              <w:left w:color="00000A" w:space="0" w:sz="4" w:val="single"/>
              <w:bottom w:color="00000A" w:space="0" w:sz="8" w:val="single"/>
              <w:right w:color="00000A" w:space="0" w:sz="4" w:val="single"/>
            </w:tcBorders>
            <w:shd w:fill="D4D4D4" w:val="clear"/>
            <w:tcMar>
              <w:left w:type="dxa" w:w="98"/>
            </w:tcMar>
            <w:vAlign w:val="center"/>
          </w:tcPr>
          <w:p>
            <w:pPr>
              <w:pStyle w:val="style0"/>
              <w:spacing w:after="113" w:before="0"/>
              <w:contextualSpacing/>
              <w:rPr>
                <w:rFonts w:ascii="Calibri" w:hAnsi="Calibri"/>
                <w:sz w:val="18"/>
                <w:szCs w:val="18"/>
              </w:rPr>
            </w:pPr>
            <w:r>
              <w:rPr>
                <w:rFonts w:ascii="Calibri" w:hAnsi="Calibri"/>
                <w:sz w:val="18"/>
                <w:szCs w:val="18"/>
              </w:rPr>
            </w:r>
          </w:p>
        </w:tc>
        <w:tc>
          <w:tcPr>
            <w:tcW w:type="dxa" w:w="3827"/>
            <w:tcBorders>
              <w:top w:color="00000A" w:space="0" w:sz="8" w:val="single"/>
              <w:left w:color="00000A" w:space="0" w:sz="8" w:val="single"/>
              <w:bottom w:color="00000A" w:space="0" w:sz="8" w:val="single"/>
              <w:right w:color="00000A" w:space="0" w:sz="8" w:val="single"/>
            </w:tcBorders>
            <w:shd w:fill="FFFFFF" w:val="clear"/>
            <w:tcMar>
              <w:left w:type="dxa" w:w="88"/>
            </w:tcMar>
            <w:vAlign w:val="center"/>
          </w:tcPr>
          <w:p>
            <w:pPr>
              <w:pStyle w:val="style33"/>
              <w:spacing w:after="0" w:before="280"/>
              <w:contextualSpacing/>
              <w:rPr>
                <w:rFonts w:ascii="Calibri" w:hAnsi="Calibri"/>
                <w:sz w:val="18"/>
                <w:szCs w:val="18"/>
              </w:rPr>
            </w:pPr>
            <w:r>
              <w:rPr>
                <w:rFonts w:ascii="Calibri" w:hAnsi="Calibri"/>
                <w:sz w:val="18"/>
                <w:szCs w:val="18"/>
              </w:rPr>
              <w:t>Services de l’état (DDT 18-58) : soutien administratif, mise en œuvre des procédures de prise arrêté préfectoraux. </w:t>
            </w:r>
          </w:p>
          <w:p>
            <w:pPr>
              <w:pStyle w:val="style33"/>
              <w:spacing w:after="0" w:before="280"/>
              <w:contextualSpacing/>
              <w:rPr>
                <w:rFonts w:ascii="Calibri" w:hAnsi="Calibri"/>
                <w:i/>
                <w:color w:val="00000A"/>
                <w:sz w:val="18"/>
                <w:szCs w:val="18"/>
              </w:rPr>
            </w:pPr>
            <w:r>
              <w:rPr>
                <w:rFonts w:ascii="Calibri" w:hAnsi="Calibri"/>
                <w:sz w:val="18"/>
                <w:szCs w:val="18"/>
              </w:rPr>
              <w:t xml:space="preserve">Gestionnaire de la RNVL : </w:t>
            </w:r>
            <w:r>
              <w:rPr>
                <w:rFonts w:ascii="Calibri" w:hAnsi="Calibri"/>
                <w:color w:val="00000A"/>
                <w:sz w:val="18"/>
                <w:szCs w:val="18"/>
              </w:rPr>
              <w:t xml:space="preserve">aide et soutien logistique technique des opérations </w:t>
            </w:r>
            <w:r>
              <w:rPr>
                <w:rFonts w:ascii="Calibri" w:hAnsi="Calibri"/>
                <w:i/>
                <w:color w:val="00000A"/>
                <w:sz w:val="18"/>
                <w:szCs w:val="18"/>
              </w:rPr>
              <w:t>(mise à disposition embarcations)</w:t>
            </w:r>
          </w:p>
        </w:tc>
      </w:tr>
      <w:tr>
        <w:trPr>
          <w:cantSplit w:val="false"/>
        </w:trPr>
        <w:tc>
          <w:tcPr>
            <w:tcW w:type="dxa" w:w="1289"/>
            <w:tcBorders>
              <w:top w:color="00000A" w:space="0" w:sz="8" w:val="single"/>
              <w:left w:color="00000A" w:space="0" w:sz="8" w:val="single"/>
              <w:bottom w:color="00000A" w:space="0" w:sz="8" w:val="single"/>
              <w:right w:color="00000A" w:space="0" w:sz="4" w:val="single"/>
            </w:tcBorders>
            <w:shd w:fill="F2F2F2" w:val="clear"/>
            <w:tcMar>
              <w:left w:type="dxa" w:w="83"/>
            </w:tcMar>
            <w:vAlign w:val="center"/>
          </w:tcPr>
          <w:p>
            <w:pPr>
              <w:pStyle w:val="style0"/>
              <w:spacing w:after="113" w:before="0"/>
              <w:contextualSpacing/>
              <w:rPr>
                <w:rFonts w:ascii="Calibri" w:hAnsi="Calibri"/>
                <w:b/>
                <w:sz w:val="18"/>
                <w:szCs w:val="18"/>
              </w:rPr>
            </w:pPr>
            <w:r>
              <w:rPr>
                <w:rFonts w:ascii="Calibri" w:hAnsi="Calibri"/>
                <w:b/>
                <w:sz w:val="18"/>
                <w:szCs w:val="18"/>
              </w:rPr>
              <w:t>Avec la participation</w:t>
            </w:r>
          </w:p>
        </w:tc>
        <w:tc>
          <w:tcPr>
            <w:tcW w:type="dxa" w:w="4059"/>
            <w:tcBorders>
              <w:top w:color="00000A" w:space="0" w:sz="8" w:val="single"/>
              <w:left w:color="00000A" w:space="0" w:sz="4" w:val="single"/>
              <w:bottom w:color="00000A" w:space="0" w:sz="8" w:val="single"/>
              <w:right w:color="00000A" w:space="0" w:sz="4" w:val="single"/>
            </w:tcBorders>
            <w:shd w:fill="FFFFFF" w:val="clear"/>
            <w:tcMar>
              <w:left w:type="dxa" w:w="98"/>
            </w:tcMar>
            <w:vAlign w:val="center"/>
          </w:tcPr>
          <w:p>
            <w:pPr>
              <w:pStyle w:val="style0"/>
              <w:spacing w:after="113" w:before="0"/>
              <w:contextualSpacing/>
              <w:rPr>
                <w:rFonts w:ascii="Calibri" w:hAnsi="Calibri"/>
                <w:sz w:val="18"/>
                <w:szCs w:val="18"/>
              </w:rPr>
            </w:pPr>
            <w:r>
              <w:rPr>
                <w:rFonts w:ascii="Calibri" w:hAnsi="Calibri"/>
                <w:sz w:val="18"/>
                <w:szCs w:val="18"/>
              </w:rPr>
              <w:t>Chasses riveraines,</w:t>
            </w:r>
          </w:p>
        </w:tc>
        <w:tc>
          <w:tcPr>
            <w:tcW w:type="dxa" w:w="3827"/>
            <w:tcBorders>
              <w:top w:color="00000A" w:space="0" w:sz="8" w:val="single"/>
              <w:left w:color="00000A" w:space="0" w:sz="8" w:val="single"/>
              <w:bottom w:color="00000A" w:space="0" w:sz="8" w:val="single"/>
              <w:right w:color="00000A" w:space="0" w:sz="8" w:val="single"/>
            </w:tcBorders>
            <w:shd w:fill="FFFFFF" w:val="clear"/>
            <w:tcMar>
              <w:left w:type="dxa" w:w="88"/>
            </w:tcMar>
            <w:vAlign w:val="center"/>
          </w:tcPr>
          <w:p>
            <w:pPr>
              <w:pStyle w:val="style0"/>
              <w:spacing w:after="113" w:before="0"/>
              <w:contextualSpacing/>
              <w:rPr>
                <w:rFonts w:ascii="Calibri" w:hAnsi="Calibri"/>
                <w:sz w:val="18"/>
                <w:szCs w:val="18"/>
              </w:rPr>
            </w:pPr>
            <w:r>
              <w:rPr>
                <w:rFonts w:ascii="Calibri" w:hAnsi="Calibri"/>
                <w:sz w:val="18"/>
                <w:szCs w:val="18"/>
              </w:rPr>
            </w:r>
          </w:p>
        </w:tc>
      </w:tr>
      <w:tr>
        <w:trPr>
          <w:cantSplit w:val="false"/>
        </w:trPr>
        <w:tc>
          <w:tcPr>
            <w:tcW w:type="dxa" w:w="1289"/>
            <w:tcBorders>
              <w:top w:color="00000A" w:space="0" w:sz="8" w:val="single"/>
              <w:left w:color="00000A" w:space="0" w:sz="8" w:val="single"/>
              <w:bottom w:color="00000A" w:space="0" w:sz="8" w:val="single"/>
              <w:right w:color="00000A" w:space="0" w:sz="4" w:val="single"/>
            </w:tcBorders>
            <w:shd w:fill="F2F2F2" w:val="clear"/>
            <w:tcMar>
              <w:left w:type="dxa" w:w="83"/>
            </w:tcMar>
            <w:vAlign w:val="center"/>
          </w:tcPr>
          <w:p>
            <w:pPr>
              <w:pStyle w:val="style0"/>
              <w:spacing w:after="113" w:before="0"/>
              <w:contextualSpacing/>
              <w:rPr>
                <w:rFonts w:ascii="Calibri" w:hAnsi="Calibri"/>
                <w:b/>
                <w:sz w:val="18"/>
                <w:szCs w:val="18"/>
              </w:rPr>
            </w:pPr>
            <w:r>
              <w:rPr>
                <w:rFonts w:ascii="Calibri" w:hAnsi="Calibri"/>
                <w:b/>
                <w:sz w:val="18"/>
                <w:szCs w:val="18"/>
              </w:rPr>
              <w:t>Commentaire</w:t>
            </w:r>
          </w:p>
        </w:tc>
        <w:tc>
          <w:tcPr>
            <w:tcW w:type="dxa" w:w="4059"/>
            <w:tcBorders>
              <w:top w:color="00000A" w:space="0" w:sz="8" w:val="single"/>
              <w:left w:color="00000A" w:space="0" w:sz="4" w:val="single"/>
              <w:bottom w:color="00000A" w:space="0" w:sz="8" w:val="single"/>
              <w:right w:color="00000A" w:space="0" w:sz="4" w:val="single"/>
            </w:tcBorders>
            <w:shd w:fill="FFFFFF" w:val="clear"/>
            <w:tcMar>
              <w:left w:type="dxa" w:w="98"/>
            </w:tcMar>
            <w:vAlign w:val="center"/>
          </w:tcPr>
          <w:p>
            <w:pPr>
              <w:pStyle w:val="style0"/>
              <w:spacing w:after="113" w:before="0"/>
              <w:contextualSpacing/>
              <w:rPr>
                <w:rFonts w:ascii="Calibri" w:hAnsi="Calibri"/>
                <w:sz w:val="18"/>
                <w:szCs w:val="18"/>
              </w:rPr>
            </w:pPr>
            <w:r>
              <w:rPr>
                <w:rFonts w:ascii="Calibri" w:hAnsi="Calibri"/>
                <w:sz w:val="18"/>
                <w:szCs w:val="18"/>
              </w:rPr>
              <w:t xml:space="preserve">Ce dispositif peut-être suspendu selon son efficacité </w:t>
            </w:r>
          </w:p>
        </w:tc>
        <w:tc>
          <w:tcPr>
            <w:tcW w:type="dxa" w:w="3827"/>
            <w:tcBorders>
              <w:top w:color="00000A" w:space="0" w:sz="8" w:val="single"/>
              <w:left w:color="00000A" w:space="0" w:sz="8" w:val="single"/>
              <w:bottom w:color="00000A" w:space="0" w:sz="8" w:val="single"/>
              <w:right w:color="00000A" w:space="0" w:sz="8" w:val="single"/>
            </w:tcBorders>
            <w:shd w:fill="FFFFFF" w:val="clear"/>
            <w:tcMar>
              <w:left w:type="dxa" w:w="88"/>
            </w:tcMar>
            <w:vAlign w:val="center"/>
          </w:tcPr>
          <w:p>
            <w:pPr>
              <w:pStyle w:val="style0"/>
              <w:spacing w:after="113" w:before="0"/>
              <w:contextualSpacing/>
              <w:rPr>
                <w:rFonts w:ascii="Calibri" w:hAnsi="Calibri"/>
                <w:sz w:val="18"/>
                <w:szCs w:val="18"/>
              </w:rPr>
            </w:pPr>
            <w:r>
              <w:rPr>
                <w:rFonts w:ascii="Calibri" w:hAnsi="Calibri"/>
                <w:sz w:val="18"/>
                <w:szCs w:val="18"/>
              </w:rPr>
            </w:r>
          </w:p>
        </w:tc>
      </w:tr>
    </w:tbl>
    <w:p>
      <w:pPr>
        <w:pStyle w:val="style0"/>
        <w:ind w:firstLine="227" w:left="567" w:right="0"/>
        <w:rPr>
          <w:rFonts w:ascii="Calibri" w:hAnsi="Calibri"/>
          <w:sz w:val="20"/>
          <w:szCs w:val="20"/>
        </w:rPr>
      </w:pPr>
      <w:r>
        <w:rPr>
          <w:rFonts w:ascii="Calibri" w:hAnsi="Calibri"/>
          <w:sz w:val="20"/>
          <w:szCs w:val="20"/>
        </w:rPr>
      </w:r>
    </w:p>
    <w:p>
      <w:pPr>
        <w:pStyle w:val="style0"/>
        <w:suppressAutoHyphens w:val="true"/>
        <w:spacing w:line="252" w:lineRule="auto"/>
        <w:ind w:firstLine="227" w:left="0" w:right="140"/>
        <w:textAlignment w:val="baseline"/>
        <w:rPr>
          <w:rFonts w:ascii="Calibri" w:hAnsi="Calibri"/>
          <w:b/>
          <w:bCs/>
          <w:szCs w:val="20"/>
        </w:rPr>
      </w:pPr>
      <w:r>
        <w:rPr>
          <w:rFonts w:ascii="Calibri" w:hAnsi="Calibri"/>
          <w:b/>
          <w:bCs/>
          <w:szCs w:val="20"/>
        </w:rPr>
      </w:r>
    </w:p>
    <w:p>
      <w:pPr>
        <w:pStyle w:val="style0"/>
        <w:suppressAutoHyphens w:val="true"/>
        <w:spacing w:line="252" w:lineRule="auto"/>
        <w:ind w:firstLine="227" w:left="0" w:right="140"/>
        <w:textAlignment w:val="baseline"/>
        <w:rPr>
          <w:rFonts w:ascii="Calibri" w:hAnsi="Calibri"/>
          <w:b/>
          <w:bCs/>
          <w:szCs w:val="20"/>
        </w:rPr>
      </w:pPr>
      <w:r>
        <w:rPr>
          <w:rFonts w:ascii="Calibri" w:hAnsi="Calibri"/>
          <w:b/>
          <w:bCs/>
          <w:szCs w:val="20"/>
        </w:rPr>
      </w:r>
    </w:p>
    <w:p>
      <w:pPr>
        <w:pStyle w:val="style0"/>
        <w:suppressAutoHyphens w:val="true"/>
        <w:spacing w:line="252" w:lineRule="auto"/>
        <w:ind w:firstLine="227" w:left="0" w:right="140"/>
        <w:textAlignment w:val="baseline"/>
        <w:rPr>
          <w:rFonts w:ascii="Calibri" w:hAnsi="Calibri"/>
          <w:b/>
          <w:bCs/>
          <w:szCs w:val="20"/>
        </w:rPr>
      </w:pPr>
      <w:r>
        <w:rPr>
          <w:rFonts w:ascii="Calibri" w:hAnsi="Calibri"/>
          <w:b/>
          <w:bCs/>
          <w:szCs w:val="20"/>
        </w:rPr>
      </w:r>
    </w:p>
    <w:p>
      <w:pPr>
        <w:pStyle w:val="style0"/>
        <w:suppressAutoHyphens w:val="true"/>
        <w:spacing w:line="252" w:lineRule="auto"/>
        <w:ind w:firstLine="227" w:left="0" w:right="140"/>
        <w:textAlignment w:val="baseline"/>
        <w:rPr>
          <w:rFonts w:ascii="Calibri" w:hAnsi="Calibri"/>
          <w:b/>
          <w:bCs/>
          <w:szCs w:val="20"/>
        </w:rPr>
      </w:pPr>
      <w:r>
        <w:rPr>
          <w:rFonts w:ascii="Calibri" w:hAnsi="Calibri"/>
          <w:b/>
          <w:bCs/>
          <w:szCs w:val="20"/>
        </w:rPr>
        <w:t xml:space="preserve">Dimensionnement et modalités  de déclenchement des battues administratives </w:t>
      </w:r>
    </w:p>
    <w:p>
      <w:pPr>
        <w:pStyle w:val="style0"/>
        <w:suppressAutoHyphens w:val="true"/>
        <w:spacing w:line="254" w:lineRule="auto"/>
        <w:ind w:firstLine="227" w:left="0" w:right="142"/>
        <w:textAlignment w:val="baseline"/>
        <w:rPr>
          <w:rFonts w:ascii="Calibri" w:hAnsi="Calibri"/>
          <w:szCs w:val="20"/>
        </w:rPr>
      </w:pPr>
      <w:r>
        <w:rPr>
          <w:rFonts w:ascii="Calibri" w:hAnsi="Calibri"/>
          <w:szCs w:val="20"/>
        </w:rPr>
      </w:r>
    </w:p>
    <w:p>
      <w:pPr>
        <w:pStyle w:val="style0"/>
        <w:suppressAutoHyphens w:val="true"/>
        <w:spacing w:line="254" w:lineRule="auto"/>
        <w:ind w:firstLine="227" w:left="0" w:right="142"/>
        <w:textAlignment w:val="baseline"/>
        <w:rPr>
          <w:rFonts w:ascii="Calibri" w:hAnsi="Calibri"/>
          <w:szCs w:val="20"/>
        </w:rPr>
      </w:pPr>
      <w:r>
        <w:rPr>
          <w:rFonts w:ascii="Calibri" w:hAnsi="Calibri"/>
          <w:szCs w:val="20"/>
        </w:rPr>
        <w:t>Les «petites» battues administratives testées sur la saison  2016-2017, ciblées sur des sites ou des portions de sites d’ilots et d’atterrissement ont montré leur efficacité et leur facilité de mise en œuvre. D’une durée courte sur une surface limitée avec un nombre assez restreint de participants et de chiens, ce format peut-est relativement moins perturbant que celui des « grosses battues ». Il semble également être mieux perçu et accepté dans le contexte socio cynégétique local.</w:t>
      </w:r>
    </w:p>
    <w:p>
      <w:pPr>
        <w:pStyle w:val="style0"/>
        <w:suppressAutoHyphens w:val="true"/>
        <w:spacing w:line="254" w:lineRule="auto"/>
        <w:ind w:firstLine="227" w:left="0" w:right="142"/>
        <w:textAlignment w:val="baseline"/>
        <w:rPr>
          <w:rFonts w:ascii="Calibri" w:hAnsi="Calibri"/>
          <w:szCs w:val="20"/>
          <w:u w:val="single"/>
        </w:rPr>
      </w:pPr>
      <w:r>
        <w:rPr>
          <w:rFonts w:ascii="Calibri" w:hAnsi="Calibri"/>
          <w:szCs w:val="20"/>
        </w:rPr>
        <w:t xml:space="preserve">Sans exclure, une battue administrative de forte ampleur si nécessaire, </w:t>
      </w:r>
      <w:r>
        <w:rPr>
          <w:rFonts w:ascii="Calibri" w:hAnsi="Calibri"/>
          <w:szCs w:val="20"/>
          <w:u w:val="single"/>
        </w:rPr>
        <w:t xml:space="preserve">le format allégé sera prioritairement privilégié </w:t>
      </w:r>
    </w:p>
    <w:p>
      <w:pPr>
        <w:pStyle w:val="style0"/>
        <w:suppressAutoHyphens w:val="true"/>
        <w:spacing w:line="254" w:lineRule="auto"/>
        <w:ind w:firstLine="227" w:left="0" w:right="142"/>
        <w:textAlignment w:val="baseline"/>
        <w:rPr>
          <w:rFonts w:ascii="Calibri" w:hAnsi="Calibri"/>
          <w:szCs w:val="20"/>
        </w:rPr>
      </w:pPr>
      <w:r>
        <w:rPr>
          <w:rFonts w:ascii="Calibri" w:hAnsi="Calibri"/>
          <w:szCs w:val="20"/>
        </w:rPr>
      </w:r>
    </w:p>
    <w:p>
      <w:pPr>
        <w:pStyle w:val="style0"/>
        <w:suppressAutoHyphens w:val="true"/>
        <w:spacing w:line="254" w:lineRule="auto"/>
        <w:ind w:firstLine="227" w:left="0" w:right="142"/>
        <w:textAlignment w:val="baseline"/>
        <w:rPr>
          <w:rFonts w:ascii="Calibri" w:hAnsi="Calibri"/>
          <w:szCs w:val="20"/>
        </w:rPr>
      </w:pPr>
      <w:r>
        <w:rPr>
          <w:rFonts w:ascii="Calibri" w:hAnsi="Calibri"/>
          <w:szCs w:val="20"/>
        </w:rPr>
        <w:t xml:space="preserve">Les modalités de déclenchement des battues administratives sont conditionnées,  par le constat de : </w:t>
      </w:r>
    </w:p>
    <w:p>
      <w:pPr>
        <w:pStyle w:val="style31"/>
        <w:suppressAutoHyphens w:val="true"/>
        <w:spacing w:line="252" w:lineRule="auto"/>
        <w:ind w:hanging="0" w:left="709" w:right="140"/>
        <w:textAlignment w:val="baseline"/>
        <w:rPr>
          <w:rFonts w:ascii="Calibri" w:hAnsi="Calibri"/>
          <w:szCs w:val="20"/>
        </w:rPr>
      </w:pPr>
      <w:r>
        <w:rPr>
          <w:rFonts w:ascii="Calibri" w:hAnsi="Calibri"/>
          <w:szCs w:val="20"/>
        </w:rPr>
        <w:t>- la situation de surabondance d’animaux,</w:t>
      </w:r>
    </w:p>
    <w:p>
      <w:pPr>
        <w:pStyle w:val="style31"/>
        <w:ind w:hanging="0" w:left="709" w:right="140"/>
        <w:rPr>
          <w:rFonts w:ascii="Calibri" w:hAnsi="Calibri"/>
          <w:color w:val="000000"/>
          <w:szCs w:val="20"/>
        </w:rPr>
      </w:pPr>
      <w:r>
        <w:rPr>
          <w:rFonts w:ascii="Calibri" w:hAnsi="Calibri"/>
          <w:color w:val="000000"/>
          <w:szCs w:val="20"/>
        </w:rPr>
        <w:t>- la mise en œuvre lors de la saison de chasse précédente de l’ensemble des dispositifs de régulation (chasse et destruction)  à l’échelle des unités de gestion cynégétique 18-58 dont fait partie la RNVL,</w:t>
      </w:r>
    </w:p>
    <w:p>
      <w:pPr>
        <w:pStyle w:val="style31"/>
        <w:suppressAutoHyphens w:val="true"/>
        <w:spacing w:line="252" w:lineRule="auto"/>
        <w:ind w:hanging="0" w:left="709" w:right="140"/>
        <w:textAlignment w:val="baseline"/>
        <w:rPr>
          <w:rFonts w:ascii="Calibri" w:hAnsi="Calibri"/>
          <w:color w:val="000000"/>
          <w:szCs w:val="20"/>
        </w:rPr>
      </w:pPr>
      <w:r>
        <w:rPr>
          <w:rFonts w:ascii="Calibri" w:hAnsi="Calibri"/>
          <w:color w:val="000000"/>
          <w:szCs w:val="20"/>
        </w:rPr>
        <w:t>- dégâts dans les cultures riveraines significatifs la saison précédente,</w:t>
      </w:r>
    </w:p>
    <w:p>
      <w:pPr>
        <w:pStyle w:val="style31"/>
        <w:suppressAutoHyphens w:val="true"/>
        <w:spacing w:line="252" w:lineRule="auto"/>
        <w:ind w:hanging="0" w:left="709" w:right="142"/>
        <w:textAlignment w:val="baseline"/>
        <w:rPr>
          <w:rFonts w:ascii="Calibri" w:hAnsi="Calibri"/>
          <w:color w:val="000000"/>
          <w:szCs w:val="20"/>
        </w:rPr>
      </w:pPr>
      <w:r>
        <w:rPr>
          <w:rFonts w:ascii="Calibri" w:hAnsi="Calibri"/>
          <w:color w:val="000000"/>
          <w:szCs w:val="20"/>
        </w:rPr>
        <w:t>- collisions avec des sangliers sur des axes de transport voisins,</w:t>
      </w:r>
    </w:p>
    <w:p>
      <w:pPr>
        <w:pStyle w:val="style31"/>
        <w:suppressAutoHyphens w:val="true"/>
        <w:spacing w:line="252" w:lineRule="auto"/>
        <w:ind w:hanging="0" w:left="709" w:right="142"/>
        <w:textAlignment w:val="baseline"/>
        <w:rPr>
          <w:rFonts w:ascii="Calibri" w:cs="Verdana" w:hAnsi="Calibri"/>
          <w:i/>
          <w:szCs w:val="20"/>
        </w:rPr>
      </w:pPr>
      <w:r>
        <w:rPr>
          <w:rFonts w:ascii="Calibri" w:hAnsi="Calibri"/>
          <w:color w:val="000000"/>
          <w:szCs w:val="20"/>
        </w:rPr>
        <w:t xml:space="preserve">- l’absence de </w:t>
      </w:r>
      <w:r>
        <w:rPr>
          <w:rFonts w:ascii="Calibri" w:cs="Verdana" w:hAnsi="Calibri"/>
          <w:szCs w:val="20"/>
        </w:rPr>
        <w:t xml:space="preserve">vague de froid en cours et/ou un niveau de présence de l’avifaune hivernante ou migratrice stationnant sur la zone considérée jugée faible et non significative </w:t>
      </w:r>
      <w:r>
        <w:rPr>
          <w:rFonts w:ascii="Calibri" w:cs="Verdana" w:hAnsi="Calibri"/>
          <w:i/>
          <w:szCs w:val="20"/>
        </w:rPr>
        <w:t>(par l'équipe de gestion de la réserve naturelle et le représentant du conseil scientifique compétent au regard des responsabilités biologiques de la réserve naturelle)</w:t>
      </w:r>
    </w:p>
    <w:p>
      <w:pPr>
        <w:pStyle w:val="style0"/>
        <w:suppressAutoHyphens w:val="true"/>
        <w:spacing w:line="254" w:lineRule="auto"/>
        <w:ind w:firstLine="227" w:left="0" w:right="142"/>
        <w:textAlignment w:val="baseline"/>
        <w:rPr>
          <w:rFonts w:ascii="Calibri" w:hAnsi="Calibri"/>
          <w:szCs w:val="20"/>
        </w:rPr>
      </w:pPr>
      <w:r>
        <w:rPr>
          <w:rFonts w:ascii="Calibri" w:hAnsi="Calibri"/>
          <w:szCs w:val="20"/>
        </w:rPr>
        <w:t xml:space="preserve"> </w:t>
      </w:r>
    </w:p>
    <w:p>
      <w:pPr>
        <w:pStyle w:val="style0"/>
        <w:spacing w:after="280" w:before="0"/>
        <w:ind w:hanging="0" w:left="0" w:right="142"/>
        <w:contextualSpacing/>
        <w:rPr>
          <w:rFonts w:ascii="Calibri" w:hAnsi="Calibri"/>
          <w:color w:val="000000"/>
          <w:szCs w:val="20"/>
        </w:rPr>
      </w:pPr>
      <w:r>
        <w:rPr>
          <w:rFonts w:ascii="Calibri" w:hAnsi="Calibri"/>
          <w:szCs w:val="20"/>
        </w:rPr>
        <w:t xml:space="preserve">Le constat de ces critères par la formation restreinte </w:t>
      </w:r>
      <w:r>
        <w:rPr>
          <w:rFonts w:ascii="Calibri" w:hAnsi="Calibri"/>
          <w:i/>
          <w:sz w:val="18"/>
          <w:szCs w:val="18"/>
        </w:rPr>
        <w:t>(cf. action MS 6.3.1. animation des instances de gouvernance) </w:t>
      </w:r>
      <w:r>
        <w:rPr>
          <w:rFonts w:ascii="Calibri" w:hAnsi="Calibri"/>
          <w:szCs w:val="20"/>
        </w:rPr>
        <w:t xml:space="preserve"> </w:t>
      </w:r>
      <w:r>
        <w:rPr>
          <w:rFonts w:ascii="Calibri" w:hAnsi="Calibri"/>
          <w:color w:val="000000"/>
          <w:szCs w:val="20"/>
        </w:rPr>
        <w:t xml:space="preserve">permettra de proposer aux préfets de la Nièvre et du Cher, en cas de besoin, le maintien des battues d’automne et de fin d’hiver, leur annulation ou leur augmentation pendant leurs périodes respectivement établies. </w:t>
      </w:r>
    </w:p>
    <w:p>
      <w:pPr>
        <w:pStyle w:val="style0"/>
        <w:spacing w:after="280" w:before="0"/>
        <w:ind w:hanging="0" w:left="0" w:right="142"/>
        <w:contextualSpacing/>
        <w:rPr>
          <w:rFonts w:ascii="Calibri" w:hAnsi="Calibri"/>
          <w:szCs w:val="20"/>
        </w:rPr>
      </w:pPr>
      <w:r>
        <w:rPr>
          <w:rFonts w:ascii="Calibri" w:hAnsi="Calibri"/>
          <w:szCs w:val="20"/>
        </w:rPr>
        <w:t>les critères de déclenchement des battues administratives éventuelles dans la réserve naturelle sont définis en concertation avec les différents acteurs locaux au sein d'une formation spécifique du CCG et qu'ils prennent en compte la mise en oeuvre d'une gestion cynégétique adaptée à l'extérieur de la réserve naturelle</w:t>
      </w:r>
    </w:p>
    <w:p>
      <w:pPr>
        <w:pStyle w:val="style0"/>
        <w:rPr>
          <w:rFonts w:ascii="Calibri" w:hAnsi="Calibri"/>
          <w:sz w:val="20"/>
          <w:szCs w:val="20"/>
        </w:rPr>
      </w:pPr>
      <w:r>
        <w:rPr>
          <w:rFonts w:ascii="Calibri" w:hAnsi="Calibri"/>
          <w:sz w:val="20"/>
          <w:szCs w:val="20"/>
        </w:rPr>
      </w:r>
    </w:p>
    <w:p>
      <w:pPr>
        <w:pStyle w:val="style0"/>
        <w:rPr>
          <w:rFonts w:ascii="Calibri" w:hAnsi="Calibri"/>
          <w:b/>
          <w:sz w:val="20"/>
          <w:szCs w:val="20"/>
        </w:rPr>
      </w:pPr>
      <w:r>
        <w:rPr>
          <w:rFonts w:ascii="Calibri" w:hAnsi="Calibri"/>
          <w:b/>
          <w:sz w:val="20"/>
          <w:szCs w:val="20"/>
        </w:rPr>
        <w:t>3/ le bilan technique des étapes de réalisation et suivi des outils de cadrage administratif et règlementaire de ces dispositifs</w:t>
      </w:r>
    </w:p>
    <w:p>
      <w:pPr>
        <w:pStyle w:val="style0"/>
        <w:rPr>
          <w:rFonts w:ascii="Calibri" w:hAnsi="Calibri"/>
          <w:sz w:val="18"/>
          <w:szCs w:val="18"/>
        </w:rPr>
      </w:pPr>
      <w:r>
        <w:rPr>
          <w:rFonts w:ascii="Calibri" w:hAnsi="Calibri"/>
          <w:sz w:val="20"/>
          <w:szCs w:val="20"/>
        </w:rPr>
        <w:t xml:space="preserve">Régulièrement et plus particulièrement à l’occasion notamment de la (les) réunion(s) annuelle de la formation restreinte et celle du comité consultatif de gestion </w:t>
      </w:r>
      <w:r>
        <w:rPr>
          <w:rFonts w:ascii="Calibri" w:hAnsi="Calibri"/>
          <w:sz w:val="18"/>
          <w:szCs w:val="18"/>
        </w:rPr>
        <w:t>:</w:t>
      </w:r>
    </w:p>
    <w:p>
      <w:pPr>
        <w:pStyle w:val="style31"/>
        <w:numPr>
          <w:ilvl w:val="0"/>
          <w:numId w:val="1"/>
        </w:numPr>
        <w:suppressAutoHyphens w:val="true"/>
        <w:spacing w:after="160" w:before="0" w:line="252" w:lineRule="auto"/>
        <w:contextualSpacing w:val="false"/>
        <w:textAlignment w:val="baseline"/>
        <w:rPr>
          <w:rFonts w:ascii="Calibri" w:hAnsi="Calibri"/>
          <w:szCs w:val="20"/>
        </w:rPr>
      </w:pPr>
      <w:r>
        <w:rPr>
          <w:rFonts w:ascii="Calibri" w:hAnsi="Calibri"/>
          <w:szCs w:val="20"/>
        </w:rPr>
        <w:t>Dresser un bilan du suivi et des opérations de régulation auprès des différents partenaires pour ajuster au mieux les dispositifs</w:t>
      </w:r>
    </w:p>
    <w:p>
      <w:pPr>
        <w:pStyle w:val="style31"/>
        <w:numPr>
          <w:ilvl w:val="0"/>
          <w:numId w:val="1"/>
        </w:numPr>
        <w:suppressAutoHyphens w:val="true"/>
        <w:spacing w:after="160" w:before="0" w:line="252" w:lineRule="auto"/>
        <w:contextualSpacing w:val="false"/>
        <w:textAlignment w:val="baseline"/>
        <w:rPr>
          <w:rFonts w:ascii="Calibri" w:hAnsi="Calibri"/>
          <w:i/>
          <w:szCs w:val="20"/>
        </w:rPr>
      </w:pPr>
      <w:r>
        <w:rPr>
          <w:rFonts w:ascii="Calibri" w:hAnsi="Calibri"/>
          <w:szCs w:val="20"/>
        </w:rPr>
        <w:t xml:space="preserve">Traduire ces ajustements dans les arrêtés cadres et d’autorisation annuelle. </w:t>
      </w:r>
      <w:r>
        <w:rPr>
          <w:rFonts w:ascii="Calibri" w:hAnsi="Calibri"/>
          <w:i/>
          <w:szCs w:val="20"/>
        </w:rPr>
        <w:t>Actuellement l’arrêté cadre ne précise que les modalités d’organisation pour les battues d’automne, il devra donc être modifié pour inclure celles des battues de fin d’hiver.</w:t>
      </w:r>
    </w:p>
    <w:p>
      <w:pPr>
        <w:pStyle w:val="style31"/>
        <w:numPr>
          <w:ilvl w:val="0"/>
          <w:numId w:val="1"/>
        </w:numPr>
        <w:suppressAutoHyphens w:val="true"/>
        <w:spacing w:after="160" w:before="0" w:line="252" w:lineRule="auto"/>
        <w:contextualSpacing w:val="false"/>
        <w:textAlignment w:val="baseline"/>
        <w:rPr>
          <w:rFonts w:ascii="Calibri" w:hAnsi="Calibri"/>
          <w:szCs w:val="20"/>
        </w:rPr>
      </w:pPr>
      <w:r>
        <w:rPr>
          <w:rFonts w:ascii="Calibri" w:hAnsi="Calibri"/>
          <w:szCs w:val="20"/>
        </w:rPr>
        <w:t>Intégrer les résultats dans le bilan d’activité annuel de gestion de la réserve naturelle</w:t>
      </w:r>
    </w:p>
    <w:p>
      <w:pPr>
        <w:pStyle w:val="style0"/>
        <w:rPr>
          <w:rFonts w:ascii="Calibri" w:hAnsi="Calibri"/>
          <w:sz w:val="20"/>
          <w:szCs w:val="20"/>
        </w:rPr>
      </w:pPr>
      <w:r>
        <w:rPr>
          <w:rFonts w:ascii="Calibri" w:hAnsi="Calibri"/>
          <w:sz w:val="20"/>
          <w:szCs w:val="20"/>
        </w:rPr>
      </w:r>
    </w:p>
    <w:p>
      <w:pPr>
        <w:pStyle w:val="style0"/>
        <w:shd w:fill="BDD6EE" w:val="clear"/>
        <w:rPr>
          <w:rFonts w:ascii="Calibri" w:hAnsi="Calibri"/>
          <w:b/>
          <w:bCs/>
          <w:sz w:val="20"/>
          <w:szCs w:val="20"/>
        </w:rPr>
      </w:pPr>
      <w:r>
        <w:rPr>
          <w:rFonts w:ascii="Calibri" w:hAnsi="Calibri"/>
          <w:b/>
          <w:bCs/>
          <w:sz w:val="20"/>
          <w:szCs w:val="20"/>
        </w:rPr>
        <w:t>Réalisation projetée :</w:t>
      </w:r>
    </w:p>
    <w:p>
      <w:pPr>
        <w:pStyle w:val="style0"/>
        <w:rPr>
          <w:rFonts w:ascii="Calibri" w:hAnsi="Calibri"/>
          <w:sz w:val="20"/>
          <w:szCs w:val="20"/>
        </w:rPr>
      </w:pPr>
      <w:r>
        <w:rPr>
          <w:rFonts w:ascii="Calibri" w:hAnsi="Calibri"/>
          <w:sz w:val="20"/>
          <w:szCs w:val="20"/>
        </w:rPr>
      </w:r>
    </w:p>
    <w:p>
      <w:pPr>
        <w:pStyle w:val="style0"/>
        <w:rPr>
          <w:rFonts w:ascii="Calibri" w:hAnsi="Calibri"/>
          <w:sz w:val="20"/>
          <w:szCs w:val="20"/>
        </w:rPr>
      </w:pPr>
      <w:r>
        <w:rPr>
          <w:rFonts w:ascii="Calibri" w:hAnsi="Calibri"/>
          <w:sz w:val="20"/>
          <w:szCs w:val="20"/>
        </w:rPr>
        <w:t>Maîtres d’ouvrage : gestionnaires RN, DDT 18-58</w:t>
      </w:r>
    </w:p>
    <w:p>
      <w:pPr>
        <w:pStyle w:val="style0"/>
        <w:rPr>
          <w:rFonts w:ascii="Calibri" w:hAnsi="Calibri"/>
          <w:sz w:val="20"/>
          <w:szCs w:val="20"/>
        </w:rPr>
      </w:pPr>
      <w:r>
        <w:rPr>
          <w:rFonts w:ascii="Calibri" w:hAnsi="Calibri"/>
          <w:sz w:val="20"/>
          <w:szCs w:val="20"/>
        </w:rPr>
        <w:t>Maître d’œuvre : gestionnaires RN, ONCFS 18-58, lieutenants louveterie 18-58, Association des Chasseurs à l’arc du Cher et de la Nièvre</w:t>
      </w:r>
    </w:p>
    <w:p>
      <w:pPr>
        <w:pStyle w:val="style0"/>
        <w:rPr>
          <w:rFonts w:ascii="Calibri" w:hAnsi="Calibri"/>
          <w:sz w:val="20"/>
          <w:szCs w:val="20"/>
        </w:rPr>
      </w:pPr>
      <w:r>
        <w:rPr>
          <w:rFonts w:ascii="Calibri" w:hAnsi="Calibri"/>
          <w:sz w:val="20"/>
          <w:szCs w:val="20"/>
        </w:rPr>
        <w:t>Partenaires : Chasses riveraines, Fédérations départementales des chasseurs du Cher et de la Nièvre.</w:t>
      </w:r>
    </w:p>
    <w:p>
      <w:pPr>
        <w:pStyle w:val="style0"/>
        <w:rPr>
          <w:rFonts w:ascii="Calibri" w:hAnsi="Calibri"/>
          <w:sz w:val="20"/>
          <w:szCs w:val="20"/>
        </w:rPr>
      </w:pPr>
      <w:r>
        <w:rPr>
          <w:rFonts w:ascii="Calibri" w:hAnsi="Calibri"/>
          <w:sz w:val="20"/>
          <w:szCs w:val="20"/>
        </w:rPr>
      </w:r>
    </w:p>
    <w:p>
      <w:pPr>
        <w:pStyle w:val="style0"/>
        <w:shd w:fill="BDD6EE" w:val="clear"/>
        <w:rPr>
          <w:rFonts w:ascii="Calibri" w:hAnsi="Calibri"/>
          <w:b/>
          <w:bCs/>
          <w:sz w:val="20"/>
          <w:szCs w:val="20"/>
        </w:rPr>
      </w:pPr>
      <w:r>
        <w:rPr>
          <w:rFonts w:ascii="Calibri" w:hAnsi="Calibri"/>
          <w:b/>
          <w:bCs/>
          <w:sz w:val="20"/>
          <w:szCs w:val="20"/>
        </w:rPr>
        <w:t>Calendrier de réalisation :</w:t>
      </w:r>
    </w:p>
    <w:p>
      <w:pPr>
        <w:pStyle w:val="style0"/>
        <w:rPr>
          <w:rFonts w:ascii="Calibri" w:hAnsi="Calibri"/>
          <w:b/>
          <w:bCs/>
          <w:sz w:val="20"/>
          <w:szCs w:val="20"/>
        </w:rPr>
      </w:pPr>
      <w:r>
        <w:rPr>
          <w:rFonts w:ascii="Calibri" w:hAnsi="Calibri"/>
          <w:b/>
          <w:bCs/>
          <w:sz w:val="20"/>
          <w:szCs w:val="20"/>
        </w:rPr>
      </w:r>
    </w:p>
    <w:tbl>
      <w:tblPr>
        <w:jc w:val="center"/>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85"/>
          <w:left w:type="dxa" w:w="98"/>
          <w:bottom w:type="dxa" w:w="57"/>
          <w:right w:type="dxa" w:w="108"/>
        </w:tblCellMar>
      </w:tblPr>
      <w:tblGrid>
        <w:gridCol w:w="843"/>
        <w:gridCol w:w="851"/>
        <w:gridCol w:w="851"/>
        <w:gridCol w:w="848"/>
        <w:gridCol w:w="851"/>
        <w:gridCol w:w="851"/>
        <w:gridCol w:w="848"/>
        <w:gridCol w:w="852"/>
        <w:gridCol w:w="849"/>
        <w:gridCol w:w="856"/>
      </w:tblGrid>
      <w:tr>
        <w:trPr>
          <w:cantSplit w:val="false"/>
        </w:trPr>
        <w:tc>
          <w:tcPr>
            <w:tcW w:type="dxa" w:w="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Calibri" w:hAnsi="Calibri"/>
                <w:b/>
                <w:sz w:val="20"/>
                <w:szCs w:val="20"/>
              </w:rPr>
            </w:pPr>
            <w:r>
              <w:rPr>
                <w:rFonts w:ascii="Calibri" w:hAnsi="Calibri"/>
                <w:b/>
                <w:sz w:val="20"/>
                <w:szCs w:val="20"/>
              </w:rPr>
              <w:t>2017</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Calibri" w:hAnsi="Calibri"/>
                <w:b/>
                <w:sz w:val="20"/>
                <w:szCs w:val="20"/>
              </w:rPr>
            </w:pPr>
            <w:r>
              <w:rPr>
                <w:rFonts w:ascii="Calibri" w:hAnsi="Calibri"/>
                <w:b/>
                <w:sz w:val="20"/>
                <w:szCs w:val="20"/>
              </w:rPr>
              <w:t>2018</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Calibri" w:hAnsi="Calibri"/>
                <w:b/>
                <w:sz w:val="20"/>
                <w:szCs w:val="20"/>
              </w:rPr>
            </w:pPr>
            <w:r>
              <w:rPr>
                <w:rFonts w:ascii="Calibri" w:hAnsi="Calibri"/>
                <w:b/>
                <w:sz w:val="20"/>
                <w:szCs w:val="20"/>
              </w:rPr>
              <w:t>2019</w:t>
            </w:r>
          </w:p>
        </w:tc>
        <w:tc>
          <w:tcPr>
            <w:tcW w:type="dxa" w:w="84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Calibri" w:hAnsi="Calibri"/>
                <w:b/>
                <w:sz w:val="20"/>
                <w:szCs w:val="20"/>
              </w:rPr>
            </w:pPr>
            <w:r>
              <w:rPr>
                <w:rFonts w:ascii="Calibri" w:hAnsi="Calibri"/>
                <w:b/>
                <w:sz w:val="20"/>
                <w:szCs w:val="20"/>
              </w:rPr>
              <w:t>2020</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Calibri" w:hAnsi="Calibri"/>
                <w:b/>
                <w:sz w:val="20"/>
                <w:szCs w:val="20"/>
              </w:rPr>
            </w:pPr>
            <w:r>
              <w:rPr>
                <w:rFonts w:ascii="Calibri" w:hAnsi="Calibri"/>
                <w:b/>
                <w:sz w:val="20"/>
                <w:szCs w:val="20"/>
              </w:rPr>
              <w:t>2021</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Calibri" w:hAnsi="Calibri"/>
                <w:b/>
                <w:sz w:val="20"/>
                <w:szCs w:val="20"/>
              </w:rPr>
            </w:pPr>
            <w:r>
              <w:rPr>
                <w:rFonts w:ascii="Calibri" w:hAnsi="Calibri"/>
                <w:b/>
                <w:sz w:val="20"/>
                <w:szCs w:val="20"/>
              </w:rPr>
              <w:t>2022</w:t>
            </w:r>
          </w:p>
        </w:tc>
        <w:tc>
          <w:tcPr>
            <w:tcW w:type="dxa" w:w="84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Calibri" w:hAnsi="Calibri"/>
                <w:b/>
                <w:sz w:val="20"/>
                <w:szCs w:val="20"/>
              </w:rPr>
            </w:pPr>
            <w:r>
              <w:rPr>
                <w:rFonts w:ascii="Calibri" w:hAnsi="Calibri"/>
                <w:b/>
                <w:sz w:val="20"/>
                <w:szCs w:val="20"/>
              </w:rPr>
              <w:t>2023</w:t>
            </w:r>
          </w:p>
        </w:tc>
        <w:tc>
          <w:tcPr>
            <w:tcW w:type="dxa" w:w="85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Calibri" w:hAnsi="Calibri"/>
                <w:b/>
                <w:sz w:val="20"/>
                <w:szCs w:val="20"/>
              </w:rPr>
            </w:pPr>
            <w:r>
              <w:rPr>
                <w:rFonts w:ascii="Calibri" w:hAnsi="Calibri"/>
                <w:b/>
                <w:sz w:val="20"/>
                <w:szCs w:val="20"/>
              </w:rPr>
              <w:t>2024</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Calibri" w:hAnsi="Calibri"/>
                <w:b/>
                <w:sz w:val="20"/>
                <w:szCs w:val="20"/>
              </w:rPr>
            </w:pPr>
            <w:r>
              <w:rPr>
                <w:rFonts w:ascii="Calibri" w:hAnsi="Calibri"/>
                <w:b/>
                <w:sz w:val="20"/>
                <w:szCs w:val="20"/>
              </w:rPr>
              <w:t>2025</w:t>
            </w:r>
          </w:p>
        </w:tc>
        <w:tc>
          <w:tcPr>
            <w:tcW w:type="dxa" w:w="85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Calibri" w:hAnsi="Calibri"/>
                <w:b/>
                <w:sz w:val="20"/>
                <w:szCs w:val="20"/>
              </w:rPr>
            </w:pPr>
            <w:r>
              <w:rPr>
                <w:rFonts w:ascii="Calibri" w:hAnsi="Calibri"/>
                <w:b/>
                <w:sz w:val="20"/>
                <w:szCs w:val="20"/>
              </w:rPr>
              <w:t>2026</w:t>
            </w:r>
          </w:p>
        </w:tc>
      </w:tr>
      <w:tr>
        <w:trPr>
          <w:cantSplit w:val="false"/>
        </w:trPr>
        <w:tc>
          <w:tcPr>
            <w:tcW w:type="dxa" w:w="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Wingdings" w:hAnsi="Wingdings"/>
                <w:b/>
                <w:bCs/>
                <w:szCs w:val="20"/>
              </w:rPr>
            </w:pPr>
            <w:r>
              <w:rPr>
                <w:rFonts w:ascii="Wingdings" w:hAnsi="Wingdings"/>
                <w:b/>
                <w:bCs/>
                <w:szCs w:val="20"/>
              </w:rPr>
              <w:t></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Wingdings" w:hAnsi="Wingdings"/>
                <w:b/>
                <w:bCs/>
                <w:szCs w:val="20"/>
              </w:rPr>
            </w:pPr>
            <w:r>
              <w:rPr>
                <w:rFonts w:ascii="Wingdings" w:hAnsi="Wingdings"/>
                <w:b/>
                <w:bCs/>
                <w:szCs w:val="20"/>
              </w:rPr>
              <w:t></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Wingdings" w:hAnsi="Wingdings"/>
                <w:b/>
                <w:bCs/>
                <w:szCs w:val="20"/>
              </w:rPr>
            </w:pPr>
            <w:r>
              <w:rPr>
                <w:rFonts w:ascii="Wingdings" w:hAnsi="Wingdings"/>
                <w:b/>
                <w:bCs/>
                <w:szCs w:val="20"/>
              </w:rPr>
              <w:t></w:t>
            </w:r>
          </w:p>
        </w:tc>
        <w:tc>
          <w:tcPr>
            <w:tcW w:type="dxa" w:w="84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Wingdings" w:hAnsi="Wingdings"/>
                <w:b/>
                <w:bCs/>
                <w:szCs w:val="20"/>
              </w:rPr>
            </w:pPr>
            <w:r>
              <w:rPr>
                <w:rFonts w:ascii="Wingdings" w:hAnsi="Wingdings"/>
                <w:b/>
                <w:bCs/>
                <w:szCs w:val="20"/>
              </w:rPr>
              <w:t></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Wingdings" w:hAnsi="Wingdings"/>
                <w:b/>
                <w:bCs/>
                <w:szCs w:val="20"/>
              </w:rPr>
            </w:pPr>
            <w:r>
              <w:rPr>
                <w:rFonts w:ascii="Wingdings" w:hAnsi="Wingdings"/>
                <w:b/>
                <w:bCs/>
                <w:szCs w:val="20"/>
              </w:rPr>
              <w:t></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Wingdings" w:hAnsi="Wingdings"/>
                <w:b/>
                <w:bCs/>
                <w:szCs w:val="20"/>
              </w:rPr>
            </w:pPr>
            <w:r>
              <w:rPr>
                <w:rFonts w:ascii="Wingdings" w:hAnsi="Wingdings"/>
                <w:b/>
                <w:bCs/>
                <w:szCs w:val="20"/>
              </w:rPr>
              <w:t></w:t>
            </w:r>
          </w:p>
        </w:tc>
        <w:tc>
          <w:tcPr>
            <w:tcW w:type="dxa" w:w="84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Wingdings" w:hAnsi="Wingdings"/>
                <w:b/>
                <w:bCs/>
                <w:szCs w:val="20"/>
              </w:rPr>
            </w:pPr>
            <w:r>
              <w:rPr>
                <w:rFonts w:ascii="Wingdings" w:hAnsi="Wingdings"/>
                <w:b/>
                <w:bCs/>
                <w:szCs w:val="20"/>
              </w:rPr>
              <w:t></w:t>
            </w:r>
          </w:p>
        </w:tc>
        <w:tc>
          <w:tcPr>
            <w:tcW w:type="dxa" w:w="85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Wingdings" w:hAnsi="Wingdings"/>
                <w:b/>
                <w:bCs/>
                <w:szCs w:val="20"/>
              </w:rPr>
            </w:pPr>
            <w:r>
              <w:rPr>
                <w:rFonts w:ascii="Wingdings" w:hAnsi="Wingdings"/>
                <w:b/>
                <w:bCs/>
                <w:szCs w:val="20"/>
              </w:rPr>
              <w:t></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Wingdings" w:hAnsi="Wingdings"/>
                <w:b/>
                <w:bCs/>
                <w:szCs w:val="20"/>
              </w:rPr>
            </w:pPr>
            <w:r>
              <w:rPr>
                <w:rFonts w:ascii="Wingdings" w:hAnsi="Wingdings"/>
                <w:b/>
                <w:bCs/>
                <w:szCs w:val="20"/>
              </w:rPr>
              <w:t></w:t>
            </w:r>
          </w:p>
        </w:tc>
        <w:tc>
          <w:tcPr>
            <w:tcW w:type="dxa" w:w="85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113" w:before="0"/>
              <w:contextualSpacing w:val="false"/>
              <w:jc w:val="center"/>
              <w:rPr>
                <w:rFonts w:ascii="Wingdings" w:hAnsi="Wingdings"/>
                <w:b/>
                <w:bCs/>
                <w:szCs w:val="20"/>
              </w:rPr>
            </w:pPr>
            <w:r>
              <w:rPr>
                <w:rFonts w:ascii="Wingdings" w:hAnsi="Wingdings"/>
                <w:b/>
                <w:bCs/>
                <w:szCs w:val="20"/>
              </w:rPr>
              <w:t></w:t>
            </w:r>
          </w:p>
        </w:tc>
      </w:tr>
    </w:tbl>
    <w:p>
      <w:pPr>
        <w:pStyle w:val="style0"/>
        <w:rPr>
          <w:rFonts w:ascii="Calibri" w:hAnsi="Calibri"/>
          <w:sz w:val="20"/>
          <w:szCs w:val="20"/>
        </w:rPr>
      </w:pPr>
      <w:r>
        <w:rPr>
          <w:rFonts w:ascii="Calibri" w:hAnsi="Calibri"/>
          <w:sz w:val="20"/>
          <w:szCs w:val="20"/>
        </w:rPr>
      </w:r>
    </w:p>
    <w:p>
      <w:pPr>
        <w:pStyle w:val="style0"/>
        <w:shd w:fill="BDD6EE" w:val="clear"/>
        <w:rPr>
          <w:rFonts w:ascii="Calibri" w:hAnsi="Calibri"/>
          <w:b/>
          <w:bCs/>
          <w:sz w:val="20"/>
          <w:szCs w:val="20"/>
        </w:rPr>
      </w:pPr>
      <w:r>
        <w:rPr>
          <w:rFonts w:ascii="Calibri" w:hAnsi="Calibri"/>
          <w:b/>
          <w:bCs/>
          <w:sz w:val="20"/>
          <w:szCs w:val="20"/>
        </w:rPr>
        <w:t xml:space="preserve">Budget estimé </w:t>
      </w:r>
      <w:r>
        <w:rPr>
          <w:rFonts w:ascii="Calibri" w:hAnsi="Calibri"/>
          <w:bCs/>
          <w:i/>
          <w:sz w:val="20"/>
          <w:szCs w:val="20"/>
        </w:rPr>
        <w:t>(sur les cinq premières années)</w:t>
      </w:r>
      <w:r>
        <w:rPr>
          <w:rFonts w:ascii="Calibri" w:hAnsi="Calibri"/>
          <w:b/>
          <w:bCs/>
          <w:sz w:val="20"/>
          <w:szCs w:val="20"/>
        </w:rPr>
        <w:t xml:space="preserve"> :</w:t>
      </w:r>
    </w:p>
    <w:p>
      <w:pPr>
        <w:pStyle w:val="style0"/>
        <w:rPr/>
      </w:pPr>
      <w:r>
        <w:rPr/>
        <w:drawing>
          <wp:inline distB="0" distL="0" distR="0" distT="0">
            <wp:extent cx="5753100" cy="249555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753100" cy="2495550"/>
                    </a:xfrm>
                    <a:prstGeom prst="rect">
                      <a:avLst/>
                    </a:prstGeom>
                    <a:noFill/>
                    <a:ln w="9525">
                      <a:noFill/>
                      <a:miter lim="800000"/>
                      <a:headEnd/>
                      <a:tailEnd/>
                    </a:ln>
                  </pic:spPr>
                </pic:pic>
              </a:graphicData>
            </a:graphic>
          </wp:inline>
        </w:drawing>
      </w:r>
    </w:p>
    <w:p>
      <w:pPr>
        <w:pStyle w:val="style0"/>
        <w:spacing w:after="113" w:before="0"/>
        <w:ind w:hanging="0" w:left="0" w:right="0"/>
        <w:contextualSpacing w:val="false"/>
        <w:rPr/>
      </w:pPr>
      <w:r>
        <w:rPr/>
      </w:r>
    </w:p>
    <w:sectPr>
      <w:type w:val="nextPage"/>
      <w:pgSz w:h="16838" w:w="11906"/>
      <w:pgMar w:bottom="1417" w:footer="0" w:gutter="0" w:header="0" w:left="1417" w:right="1417" w:top="1417"/>
      <w:pgNumType w:fmt="decimal"/>
      <w:formProt w:val="false"/>
      <w:textDirection w:val="lrTb"/>
      <w:docGrid w:charSpace="16384"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1"/>
    <w:family w:val="swiss"/>
    <w:pitch w:val="default"/>
  </w:font>
  <w:font w:name="UBUNTU">
    <w:charset w:val="01"/>
    <w:family w:val="swiss"/>
    <w:pitch w:val="default"/>
  </w:font>
  <w:font w:name="Calibri Light">
    <w:charset w:val="01"/>
    <w:family w:val="swiss"/>
    <w:pitch w:val="default"/>
  </w:font>
  <w:font w:name="Verdana">
    <w:charset w:val="01"/>
    <w:family w:val="swiss"/>
    <w:pitch w:val="default"/>
  </w:font>
  <w:font w:name="Times New Roman">
    <w:charset w:val="01"/>
    <w:family w:val="swiss"/>
    <w:pitch w:val="default"/>
  </w:font>
  <w:font w:name="Calibri">
    <w:charset w:val="01"/>
    <w:family w:val="swiss"/>
    <w:pitch w:val="default"/>
  </w:font>
  <w:font w:name="Wingdings">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394"/>
      </w:pPr>
      <w:rPr>
        <w:rFonts w:ascii="Calibri" w:cs="Calibri" w:hAnsi="Calibri" w:hint="default"/>
      </w:rPr>
    </w:lvl>
    <w:lvl w:ilvl="1">
      <w:start w:val="1"/>
      <w:numFmt w:val="bullet"/>
      <w:lvlText w:val="o"/>
      <w:lvlJc w:val="left"/>
      <w:pPr>
        <w:ind w:hanging="360" w:left="1114"/>
      </w:pPr>
      <w:rPr>
        <w:rFonts w:ascii="Courier New" w:cs="Courier New" w:hAnsi="Courier New" w:hint="default"/>
      </w:rPr>
    </w:lvl>
    <w:lvl w:ilvl="2">
      <w:start w:val="1"/>
      <w:numFmt w:val="bullet"/>
      <w:lvlText w:val=""/>
      <w:lvlJc w:val="left"/>
      <w:pPr>
        <w:ind w:hanging="360" w:left="1834"/>
      </w:pPr>
      <w:rPr>
        <w:rFonts w:ascii="Wingdings" w:cs="Wingdings" w:hAnsi="Wingdings" w:hint="default"/>
      </w:rPr>
    </w:lvl>
    <w:lvl w:ilvl="3">
      <w:start w:val="1"/>
      <w:numFmt w:val="bullet"/>
      <w:lvlText w:val=""/>
      <w:lvlJc w:val="left"/>
      <w:pPr>
        <w:ind w:hanging="360" w:left="2554"/>
      </w:pPr>
      <w:rPr>
        <w:rFonts w:ascii="Symbol" w:cs="Symbol" w:hAnsi="Symbol" w:hint="default"/>
      </w:rPr>
    </w:lvl>
    <w:lvl w:ilvl="4">
      <w:start w:val="1"/>
      <w:numFmt w:val="bullet"/>
      <w:lvlText w:val="o"/>
      <w:lvlJc w:val="left"/>
      <w:pPr>
        <w:ind w:hanging="360" w:left="3274"/>
      </w:pPr>
      <w:rPr>
        <w:rFonts w:ascii="Courier New" w:cs="Courier New" w:hAnsi="Courier New" w:hint="default"/>
      </w:rPr>
    </w:lvl>
    <w:lvl w:ilvl="5">
      <w:start w:val="1"/>
      <w:numFmt w:val="bullet"/>
      <w:lvlText w:val=""/>
      <w:lvlJc w:val="left"/>
      <w:pPr>
        <w:ind w:hanging="360" w:left="3994"/>
      </w:pPr>
      <w:rPr>
        <w:rFonts w:ascii="Wingdings" w:cs="Wingdings" w:hAnsi="Wingdings" w:hint="default"/>
      </w:rPr>
    </w:lvl>
    <w:lvl w:ilvl="6">
      <w:start w:val="1"/>
      <w:numFmt w:val="bullet"/>
      <w:lvlText w:val=""/>
      <w:lvlJc w:val="left"/>
      <w:pPr>
        <w:ind w:hanging="360" w:left="4714"/>
      </w:pPr>
      <w:rPr>
        <w:rFonts w:ascii="Symbol" w:cs="Symbol" w:hAnsi="Symbol" w:hint="default"/>
      </w:rPr>
    </w:lvl>
    <w:lvl w:ilvl="7">
      <w:start w:val="1"/>
      <w:numFmt w:val="bullet"/>
      <w:lvlText w:val="o"/>
      <w:lvlJc w:val="left"/>
      <w:pPr>
        <w:ind w:hanging="360" w:left="5434"/>
      </w:pPr>
      <w:rPr>
        <w:rFonts w:ascii="Courier New" w:cs="Courier New" w:hAnsi="Courier New" w:hint="default"/>
      </w:rPr>
    </w:lvl>
    <w:lvl w:ilvl="8">
      <w:start w:val="1"/>
      <w:numFmt w:val="bullet"/>
      <w:lvlText w:val=""/>
      <w:lvlJc w:val="left"/>
      <w:pPr>
        <w:ind w:hanging="360" w:left="6154"/>
      </w:pPr>
      <w:rPr>
        <w:rFonts w:ascii="Wingdings" w:cs="Wingdings" w:hAnsi="Wingdings" w:hint="default"/>
      </w:rPr>
    </w:lvl>
  </w:abstractNum>
  <w:abstractNum w:abstractNumId="2">
    <w:lvl w:ilvl="0">
      <w:start w:val="2"/>
      <w:numFmt w:val="bullet"/>
      <w:lvlText w:val="-"/>
      <w:lvlJc w:val="left"/>
      <w:pPr>
        <w:ind w:hanging="360" w:left="720"/>
      </w:pPr>
      <w:rPr>
        <w:rFonts w:ascii="Calibri" w:cs="Calibri" w:hAnsi="Calibri" w:hint="default"/>
        <w:sz w:val="20"/>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113" w:before="0" w:line="100" w:lineRule="atLeast"/>
      <w:ind w:firstLine="227" w:left="0" w:right="0"/>
      <w:contextualSpacing w:val="false"/>
      <w:jc w:val="both"/>
      <w:textAlignment w:val="baseline"/>
    </w:pPr>
    <w:rPr>
      <w:rFonts w:ascii="UBUNTU" w:cs="UBUNTU" w:eastAsia="UBUNTU" w:hAnsi="UBUNTU"/>
      <w:color w:val="00000A"/>
      <w:sz w:val="20"/>
      <w:szCs w:val="24"/>
      <w:lang w:bidi="hi-IN" w:eastAsia="zh-CN" w:val="fr-FR"/>
    </w:rPr>
  </w:style>
  <w:style w:styleId="style3" w:type="paragraph">
    <w:name w:val="Titre 3"/>
    <w:basedOn w:val="style0"/>
    <w:next w:val="style3"/>
    <w:pPr>
      <w:keepNext/>
      <w:keepLines/>
      <w:spacing w:after="0" w:before="40"/>
      <w:ind w:hanging="0" w:left="0" w:right="0"/>
      <w:contextualSpacing w:val="false"/>
      <w:jc w:val="center"/>
    </w:pPr>
    <w:rPr>
      <w:rFonts w:ascii="Calibri Light" w:cs="" w:hAnsi="Calibri Light"/>
      <w:b/>
      <w:color w:val="1F4D78"/>
      <w:sz w:val="22"/>
      <w:szCs w:val="22"/>
    </w:rPr>
  </w:style>
  <w:style w:styleId="style15" w:type="character">
    <w:name w:val="Default Paragraph Font"/>
    <w:next w:val="style15"/>
    <w:rPr/>
  </w:style>
  <w:style w:styleId="style16" w:type="character">
    <w:name w:val="Titre 3 Car"/>
    <w:basedOn w:val="style15"/>
    <w:next w:val="style16"/>
    <w:rPr>
      <w:rFonts w:ascii="Calibri Light" w:cs="" w:hAnsi="Calibri Light"/>
      <w:b/>
      <w:color w:val="1F4D78"/>
      <w:lang w:eastAsia="fr-FR"/>
    </w:rPr>
  </w:style>
  <w:style w:styleId="style17" w:type="character">
    <w:name w:val="En-tête Car"/>
    <w:basedOn w:val="style15"/>
    <w:next w:val="style17"/>
    <w:rPr>
      <w:rFonts w:ascii="Verdana" w:cs="Times New Roman" w:eastAsia="Times New Roman" w:hAnsi="Verdana"/>
      <w:sz w:val="20"/>
      <w:szCs w:val="24"/>
      <w:lang w:eastAsia="fr-FR"/>
    </w:rPr>
  </w:style>
  <w:style w:styleId="style18" w:type="character">
    <w:name w:val="ListLabel 1"/>
    <w:next w:val="style18"/>
    <w:rPr>
      <w:rFonts w:cs="UBUNTU" w:eastAsia="UBUNTU"/>
    </w:rPr>
  </w:style>
  <w:style w:styleId="style19" w:type="character">
    <w:name w:val="ListLabel 2"/>
    <w:next w:val="style19"/>
    <w:rPr>
      <w:rFonts w:cs="Courier New"/>
    </w:rPr>
  </w:style>
  <w:style w:styleId="style20" w:type="character">
    <w:name w:val="ListLabel 3"/>
    <w:next w:val="style20"/>
    <w:rPr>
      <w:rFonts w:cs="UBUNTU" w:eastAsia="UBUNTU"/>
      <w:sz w:val="20"/>
    </w:rPr>
  </w:style>
  <w:style w:styleId="style21" w:type="character">
    <w:name w:val="ListLabel 4"/>
    <w:next w:val="style21"/>
    <w:rPr>
      <w:rFonts w:cs="Calibri"/>
    </w:rPr>
  </w:style>
  <w:style w:styleId="style22" w:type="character">
    <w:name w:val="ListLabel 5"/>
    <w:next w:val="style22"/>
    <w:rPr>
      <w:rFonts w:cs="Courier New"/>
    </w:rPr>
  </w:style>
  <w:style w:styleId="style23" w:type="character">
    <w:name w:val="ListLabel 6"/>
    <w:next w:val="style23"/>
    <w:rPr>
      <w:rFonts w:cs="Wingdings"/>
    </w:rPr>
  </w:style>
  <w:style w:styleId="style24" w:type="character">
    <w:name w:val="ListLabel 7"/>
    <w:next w:val="style24"/>
    <w:rPr>
      <w:rFonts w:cs="Symbol"/>
    </w:rPr>
  </w:style>
  <w:style w:styleId="style25" w:type="character">
    <w:name w:val="ListLabel 8"/>
    <w:next w:val="style25"/>
    <w:rPr>
      <w:rFonts w:cs="Calibri"/>
      <w:sz w:val="20"/>
    </w:rPr>
  </w:style>
  <w:style w:styleId="style26" w:type="paragraph">
    <w:name w:val="Titre"/>
    <w:basedOn w:val="style0"/>
    <w:next w:val="style27"/>
    <w:pPr>
      <w:keepNext/>
      <w:spacing w:after="120" w:before="240"/>
      <w:contextualSpacing w:val="false"/>
    </w:pPr>
    <w:rPr>
      <w:rFonts w:ascii="Liberation Sans" w:cs="Mangal" w:eastAsia="Microsoft YaHei" w:hAnsi="Liberation Sans"/>
      <w:sz w:val="28"/>
      <w:szCs w:val="28"/>
    </w:rPr>
  </w:style>
  <w:style w:styleId="style27" w:type="paragraph">
    <w:name w:val="Corps de texte"/>
    <w:basedOn w:val="style0"/>
    <w:next w:val="style27"/>
    <w:pPr>
      <w:spacing w:after="120" w:before="0"/>
      <w:contextualSpacing w:val="false"/>
    </w:pPr>
    <w:rPr/>
  </w:style>
  <w:style w:styleId="style28" w:type="paragraph">
    <w:name w:val="Liste"/>
    <w:basedOn w:val="style27"/>
    <w:next w:val="style28"/>
    <w:pPr/>
    <w:rPr>
      <w:rFonts w:ascii="Liberation Sans" w:cs="Mangal" w:hAnsi="Liberation Sans"/>
    </w:rPr>
  </w:style>
  <w:style w:styleId="style29" w:type="paragraph">
    <w:name w:val="Légende"/>
    <w:basedOn w:val="style0"/>
    <w:next w:val="style29"/>
    <w:pPr>
      <w:suppressLineNumbers/>
      <w:spacing w:after="120" w:before="120"/>
      <w:contextualSpacing w:val="false"/>
    </w:pPr>
    <w:rPr>
      <w:rFonts w:ascii="Liberation Sans" w:cs="Mangal" w:hAnsi="Liberation Sans"/>
      <w:i/>
      <w:iCs/>
      <w:sz w:val="24"/>
      <w:szCs w:val="24"/>
    </w:rPr>
  </w:style>
  <w:style w:styleId="style30" w:type="paragraph">
    <w:name w:val="Index"/>
    <w:basedOn w:val="style0"/>
    <w:next w:val="style30"/>
    <w:pPr>
      <w:suppressLineNumbers/>
    </w:pPr>
    <w:rPr>
      <w:rFonts w:ascii="Liberation Sans" w:cs="Mangal" w:hAnsi="Liberation Sans"/>
    </w:rPr>
  </w:style>
  <w:style w:styleId="style31" w:type="paragraph">
    <w:name w:val="List Paragraph"/>
    <w:basedOn w:val="style0"/>
    <w:next w:val="style31"/>
    <w:pPr>
      <w:spacing w:after="0" w:before="0"/>
      <w:ind w:firstLine="227" w:left="720" w:right="0"/>
      <w:contextualSpacing/>
    </w:pPr>
    <w:rPr/>
  </w:style>
  <w:style w:styleId="style32" w:type="paragraph">
    <w:name w:val="En-tête"/>
    <w:basedOn w:val="style0"/>
    <w:next w:val="style32"/>
    <w:pPr>
      <w:tabs>
        <w:tab w:leader="none" w:pos="4536" w:val="center"/>
        <w:tab w:leader="none" w:pos="9072" w:val="right"/>
      </w:tabs>
    </w:pPr>
    <w:rPr/>
  </w:style>
  <w:style w:styleId="style33" w:type="paragraph">
    <w:name w:val="western"/>
    <w:basedOn w:val="style0"/>
    <w:next w:val="style33"/>
    <w:pPr>
      <w:spacing w:after="119" w:before="280"/>
      <w:ind w:hanging="0" w:left="0" w:right="0"/>
      <w:contextualSpacing w:val="false"/>
    </w:pPr>
    <w:rPr>
      <w:rFonts w:ascii="Times New Roman" w:hAnsi="Times New Roman"/>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2017-10-18T15:22:00Z</dcterms:created>
  <dc:creator>Accueil RNVL</dc:creator>
  <cp:lastModifiedBy>Accueil RNVL</cp:lastModifiedBy>
  <dcterms:modified xsi:type="dcterms:W3CDTF">2017-12-04T16:40:00Z</dcterms:modified>
  <cp:revision>6</cp:revision>
</cp:coreProperties>
</file>