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1471" w:rsidRDefault="00F01471">
      <w:r>
        <w:rPr>
          <w:noProof/>
        </w:rPr>
        <mc:AlternateContent>
          <mc:Choice Requires="wps">
            <w:drawing>
              <wp:anchor distT="45720" distB="45720" distL="114300" distR="114300" simplePos="0" relativeHeight="251659264" behindDoc="0" locked="0" layoutInCell="1" allowOverlap="1">
                <wp:simplePos x="0" y="0"/>
                <wp:positionH relativeFrom="column">
                  <wp:posOffset>198755</wp:posOffset>
                </wp:positionH>
                <wp:positionV relativeFrom="paragraph">
                  <wp:posOffset>8255</wp:posOffset>
                </wp:positionV>
                <wp:extent cx="5327650" cy="393700"/>
                <wp:effectExtent l="0" t="0" r="25400"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393700"/>
                        </a:xfrm>
                        <a:prstGeom prst="rect">
                          <a:avLst/>
                        </a:prstGeom>
                        <a:solidFill>
                          <a:srgbClr val="FFFFFF"/>
                        </a:solidFill>
                        <a:ln w="9525">
                          <a:solidFill>
                            <a:srgbClr val="000000"/>
                          </a:solidFill>
                          <a:miter lim="800000"/>
                          <a:headEnd/>
                          <a:tailEnd/>
                        </a:ln>
                      </wps:spPr>
                      <wps:txbx>
                        <w:txbxContent>
                          <w:p w:rsidR="00F01471" w:rsidRPr="00C30FD6" w:rsidRDefault="00F01471" w:rsidP="00F01471">
                            <w:pPr>
                              <w:jc w:val="center"/>
                              <w:rPr>
                                <w:sz w:val="36"/>
                                <w:szCs w:val="36"/>
                              </w:rPr>
                            </w:pPr>
                            <w:r w:rsidRPr="00C30FD6">
                              <w:rPr>
                                <w:sz w:val="36"/>
                                <w:szCs w:val="36"/>
                              </w:rPr>
                              <w:t>Cycle technologique et phases de fonctionnement</w:t>
                            </w:r>
                          </w:p>
                          <w:p w:rsidR="00F01471" w:rsidRDefault="00F014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5.65pt;margin-top:.65pt;width:419.5pt;height:3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">
                <v:textbox>
                  <w:txbxContent>
                    <w:p w:rsidR="00F01471" w:rsidRPr="00C30FD6" w:rsidRDefault="00F01471" w:rsidP="00F01471">
                      <w:pPr>
                        <w:jc w:val="center"/>
                        <w:rPr>
                          <w:sz w:val="36"/>
                          <w:szCs w:val="36"/>
                        </w:rPr>
                      </w:pPr>
                      <w:r w:rsidRPr="00C30FD6">
                        <w:rPr>
                          <w:sz w:val="36"/>
                          <w:szCs w:val="36"/>
                        </w:rPr>
                        <w:t>Cycle technologique et phases de fonctionnement</w:t>
                      </w:r>
                    </w:p>
                    <w:p w:rsidR="00F01471" w:rsidRDefault="00F01471"/>
                  </w:txbxContent>
                </v:textbox>
                <w10:wrap type="square"/>
              </v:shape>
            </w:pict>
          </mc:Fallback>
        </mc:AlternateContent>
      </w:r>
      <w:r w:rsidRPr="00732F1B">
        <w:rPr>
          <w:noProof/>
        </w:rPr>
        <w:drawing>
          <wp:inline distT="0" distB="0" distL="0" distR="0" wp14:anchorId="0665CD24" wp14:editId="0A7B8D36">
            <wp:extent cx="5760720" cy="9086023"/>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9086023"/>
                    </a:xfrm>
                    <a:prstGeom prst="rect">
                      <a:avLst/>
                    </a:prstGeom>
                    <a:noFill/>
                    <a:ln>
                      <a:noFill/>
                    </a:ln>
                  </pic:spPr>
                </pic:pic>
              </a:graphicData>
            </a:graphic>
          </wp:inline>
        </w:drawing>
      </w:r>
      <w:bookmarkStart w:id="0" w:name="_GoBack"/>
      <w:bookmarkEnd w:id="0"/>
    </w:p>
    <w:p w:rsidR="00C944F3" w:rsidRDefault="00C944F3" w:rsidP="0000565E">
      <w:pPr>
        <w:jc w:val="both"/>
      </w:pPr>
      <w:r>
        <w:lastRenderedPageBreak/>
        <w:t xml:space="preserve">Le </w:t>
      </w:r>
      <w:r w:rsidR="00E76425">
        <w:t xml:space="preserve">four </w:t>
      </w:r>
      <w:r>
        <w:t xml:space="preserve">PIROMAX est un appareil cyclique, dans lequel s’alternent les phases de fonctionnement, refroidissement, attente et de </w:t>
      </w:r>
      <w:r w:rsidR="00C30FD6">
        <w:t>nouveau</w:t>
      </w:r>
      <w:r>
        <w:t xml:space="preserve"> fonctionnement, comprenant à son tour les phases suivantes :</w:t>
      </w:r>
    </w:p>
    <w:p w:rsidR="00C944F3" w:rsidRDefault="00C944F3" w:rsidP="0000565E">
      <w:pPr>
        <w:pStyle w:val="Paragraphedeliste"/>
        <w:numPr>
          <w:ilvl w:val="0"/>
          <w:numId w:val="1"/>
        </w:numPr>
        <w:jc w:val="both"/>
      </w:pPr>
      <w:r>
        <w:t>Chargement</w:t>
      </w:r>
    </w:p>
    <w:p w:rsidR="00C944F3" w:rsidRDefault="00C944F3" w:rsidP="0000565E">
      <w:pPr>
        <w:pStyle w:val="Paragraphedeliste"/>
        <w:numPr>
          <w:ilvl w:val="0"/>
          <w:numId w:val="1"/>
        </w:numPr>
        <w:jc w:val="both"/>
      </w:pPr>
      <w:r>
        <w:t>Mise en marche et chauffage de la postcombustion</w:t>
      </w:r>
    </w:p>
    <w:p w:rsidR="00C944F3" w:rsidRDefault="00C944F3" w:rsidP="0000565E">
      <w:pPr>
        <w:pStyle w:val="Paragraphedeliste"/>
        <w:numPr>
          <w:ilvl w:val="0"/>
          <w:numId w:val="1"/>
        </w:numPr>
        <w:jc w:val="both"/>
      </w:pPr>
      <w:r>
        <w:t>Mise en marche du four de décapage thermique</w:t>
      </w:r>
    </w:p>
    <w:p w:rsidR="00C944F3" w:rsidRDefault="00C30FD6" w:rsidP="0000565E">
      <w:pPr>
        <w:pStyle w:val="Paragraphedeliste"/>
        <w:numPr>
          <w:ilvl w:val="0"/>
          <w:numId w:val="1"/>
        </w:numPr>
        <w:jc w:val="both"/>
      </w:pPr>
      <w:r>
        <w:t>Processus</w:t>
      </w:r>
      <w:r w:rsidR="00C944F3">
        <w:t xml:space="preserve"> de décapage thermique</w:t>
      </w:r>
    </w:p>
    <w:p w:rsidR="00C944F3" w:rsidRDefault="00C30FD6" w:rsidP="0000565E">
      <w:pPr>
        <w:pStyle w:val="Paragraphedeliste"/>
        <w:numPr>
          <w:ilvl w:val="0"/>
          <w:numId w:val="1"/>
        </w:numPr>
        <w:jc w:val="both"/>
      </w:pPr>
      <w:r>
        <w:t>Refroidissement</w:t>
      </w:r>
      <w:r w:rsidR="00C944F3">
        <w:t xml:space="preserve"> du four</w:t>
      </w:r>
    </w:p>
    <w:p w:rsidR="00C944F3" w:rsidRDefault="00C944F3" w:rsidP="0000565E">
      <w:pPr>
        <w:pStyle w:val="Paragraphedeliste"/>
        <w:numPr>
          <w:ilvl w:val="0"/>
          <w:numId w:val="1"/>
        </w:numPr>
        <w:jc w:val="both"/>
      </w:pPr>
      <w:r>
        <w:t>Extraction du matériel traité</w:t>
      </w:r>
    </w:p>
    <w:p w:rsidR="00C30FD6" w:rsidRDefault="00C30FD6" w:rsidP="0000565E">
      <w:pPr>
        <w:pStyle w:val="Paragraphedeliste"/>
        <w:numPr>
          <w:ilvl w:val="0"/>
          <w:numId w:val="1"/>
        </w:numPr>
        <w:jc w:val="both"/>
      </w:pPr>
      <w:r>
        <w:t>Enlèvement</w:t>
      </w:r>
      <w:r w:rsidR="00C944F3">
        <w:t xml:space="preserve"> de scories</w:t>
      </w:r>
    </w:p>
    <w:p w:rsidR="00C30FD6" w:rsidRPr="00C30FD6" w:rsidRDefault="00C30FD6" w:rsidP="0000565E">
      <w:pPr>
        <w:jc w:val="both"/>
      </w:pPr>
    </w:p>
    <w:p w:rsidR="00C944F3" w:rsidRDefault="00C944F3" w:rsidP="0000565E">
      <w:pPr>
        <w:pStyle w:val="Titre2"/>
        <w:jc w:val="both"/>
      </w:pPr>
      <w:r>
        <w:t>CHARGEMENT</w:t>
      </w:r>
    </w:p>
    <w:p w:rsidR="00C944F3" w:rsidRDefault="00C944F3" w:rsidP="0000565E">
      <w:pPr>
        <w:jc w:val="both"/>
      </w:pPr>
      <w:r>
        <w:t xml:space="preserve">Quand le four est froid, on </w:t>
      </w:r>
      <w:r w:rsidR="00C30FD6">
        <w:t>introduit</w:t>
      </w:r>
      <w:r>
        <w:t xml:space="preserve"> dans la chambre de décapage la quantité totale de produits à décaper dans le cycle.</w:t>
      </w:r>
    </w:p>
    <w:p w:rsidR="00C944F3" w:rsidRDefault="00C944F3" w:rsidP="0000565E">
      <w:pPr>
        <w:jc w:val="both"/>
      </w:pPr>
      <w:r>
        <w:t>Pour cette opération, il faut utiliser le chariot de manutention inclus dans la fourniture.</w:t>
      </w:r>
    </w:p>
    <w:p w:rsidR="00C944F3" w:rsidRDefault="00C944F3" w:rsidP="0000565E">
      <w:pPr>
        <w:pStyle w:val="Titre2"/>
        <w:jc w:val="both"/>
      </w:pPr>
      <w:r>
        <w:t>MISE EN MARCHE ET PRECHAUFFAGE DU POSTCOMBUSTEUR</w:t>
      </w:r>
    </w:p>
    <w:p w:rsidR="00C944F3" w:rsidRDefault="00C30FD6" w:rsidP="0000565E">
      <w:pPr>
        <w:jc w:val="both"/>
      </w:pPr>
      <w:r>
        <w:t>Après</w:t>
      </w:r>
      <w:r w:rsidR="00C944F3">
        <w:t xml:space="preserve"> avoir terminé le chargement et fermé la porte de la chambre de décapage, on allume le </w:t>
      </w:r>
      <w:r>
        <w:t>brûleur</w:t>
      </w:r>
      <w:r w:rsidR="00C944F3">
        <w:t xml:space="preserve"> de postcombustion comme </w:t>
      </w:r>
      <w:r>
        <w:t>première</w:t>
      </w:r>
      <w:r w:rsidR="00C944F3">
        <w:t xml:space="preserve"> phase en amont du véritable traitement thermique de décapage.</w:t>
      </w:r>
    </w:p>
    <w:p w:rsidR="00C944F3" w:rsidRDefault="00C944F3" w:rsidP="0000565E">
      <w:pPr>
        <w:jc w:val="both"/>
      </w:pPr>
      <w:r>
        <w:t xml:space="preserve">Le préchauffage doit permettre d’atteindre dans la postcombustion la température prescrite dans la </w:t>
      </w:r>
      <w:r w:rsidR="00C30FD6">
        <w:t>règlementation</w:t>
      </w:r>
      <w:r>
        <w:t xml:space="preserve"> (habituellement 850°).</w:t>
      </w:r>
    </w:p>
    <w:p w:rsidR="00C944F3" w:rsidRDefault="00C944F3" w:rsidP="0000565E">
      <w:pPr>
        <w:jc w:val="both"/>
      </w:pPr>
      <w:r>
        <w:t xml:space="preserve">Dans cette phase initiale qui dure 30-45 </w:t>
      </w:r>
      <w:r w:rsidR="00C30FD6">
        <w:t>minutes</w:t>
      </w:r>
      <w:r>
        <w:t>, les émissions sont exclusivement constituées des produits de la combustion générés par le combustible brûlé dans la phase de chauffage de la postcombustion.</w:t>
      </w:r>
    </w:p>
    <w:p w:rsidR="008C359B" w:rsidRDefault="008C359B" w:rsidP="0000565E">
      <w:pPr>
        <w:pStyle w:val="Titre2"/>
        <w:jc w:val="both"/>
      </w:pPr>
      <w:r>
        <w:t>MISE EN MARCHE DE LA CHAMBRE DE DECAPAGE THERMIQUE</w:t>
      </w:r>
    </w:p>
    <w:p w:rsidR="008C359B" w:rsidRDefault="008C359B" w:rsidP="0000565E">
      <w:pPr>
        <w:jc w:val="both"/>
      </w:pPr>
      <w:r>
        <w:t>La température de postcombustion désirée étant atteinte, l’allumage automatique du brûleur primaire dans la chambre de décapage peut avoir lieu. Le processus de décapage thermique démarre, avec une température d’exercice qui monte progressivement selon les modalités programmées sur le régulateur à microprocesseur.</w:t>
      </w:r>
    </w:p>
    <w:p w:rsidR="008C359B" w:rsidRDefault="008C359B" w:rsidP="0000565E">
      <w:pPr>
        <w:pStyle w:val="Titre2"/>
        <w:jc w:val="both"/>
      </w:pPr>
      <w:r>
        <w:t>PROCESSUS DE DE</w:t>
      </w:r>
      <w:r w:rsidR="00C30FD6">
        <w:t>C</w:t>
      </w:r>
      <w:r>
        <w:t>APAGE – NETTOYAGE THERMIQUE</w:t>
      </w:r>
    </w:p>
    <w:p w:rsidR="008C359B" w:rsidRDefault="008C359B" w:rsidP="0000565E">
      <w:pPr>
        <w:jc w:val="both"/>
      </w:pPr>
      <w:r>
        <w:t xml:space="preserve">Les substances à éliminer sont consumées jusqu’à élimination </w:t>
      </w:r>
      <w:r w:rsidR="00C30FD6">
        <w:t>complète</w:t>
      </w:r>
      <w:r>
        <w:t xml:space="preserve"> par un processus de pyrolyse alimenté par l’air que fournit le ventilateur du b</w:t>
      </w:r>
      <w:r w:rsidR="00C30FD6">
        <w:t>rû</w:t>
      </w:r>
      <w:r>
        <w:t>leur.</w:t>
      </w:r>
    </w:p>
    <w:p w:rsidR="008C359B" w:rsidRDefault="008C359B" w:rsidP="0000565E">
      <w:pPr>
        <w:jc w:val="both"/>
      </w:pPr>
      <w:r>
        <w:t xml:space="preserve">La décomposition pyrolytique des substances à éliminer advient en </w:t>
      </w:r>
      <w:r w:rsidR="00C30FD6">
        <w:t>atmosphère</w:t>
      </w:r>
      <w:r>
        <w:t xml:space="preserve"> très peu oxygénée avec production de gaz imbrûlés.</w:t>
      </w:r>
    </w:p>
    <w:p w:rsidR="008C359B" w:rsidRDefault="008C359B" w:rsidP="0000565E">
      <w:pPr>
        <w:jc w:val="both"/>
      </w:pPr>
      <w:r>
        <w:t>Dans la postcombustion, le brûleur secondaire et l’ai</w:t>
      </w:r>
      <w:r w:rsidR="00C30FD6">
        <w:t>r</w:t>
      </w:r>
      <w:r>
        <w:t xml:space="preserve"> comburant que fournit le ventilateur vont créer les conditions nécessaires pour une combustion </w:t>
      </w:r>
      <w:r w:rsidR="00C30FD6">
        <w:t>complète</w:t>
      </w:r>
      <w:r>
        <w:t xml:space="preserve"> de ces fumées</w:t>
      </w:r>
      <w:r w:rsidR="00474FAF">
        <w:t>, en maintenant toujours la température à plus de 850°C.</w:t>
      </w:r>
    </w:p>
    <w:p w:rsidR="00474FAF" w:rsidRDefault="00474FAF" w:rsidP="0000565E">
      <w:pPr>
        <w:jc w:val="both"/>
      </w:pPr>
      <w:r>
        <w:lastRenderedPageBreak/>
        <w:t xml:space="preserve">Dans cette phase, on tient sous contrôle les </w:t>
      </w:r>
      <w:r w:rsidR="00C30FD6">
        <w:t>paramètres</w:t>
      </w:r>
      <w:r>
        <w:t xml:space="preserve"> optionnels </w:t>
      </w:r>
      <w:r w:rsidR="00C30FD6">
        <w:t>suivants</w:t>
      </w:r>
      <w:r>
        <w:t> :</w:t>
      </w:r>
    </w:p>
    <w:p w:rsidR="00474FAF" w:rsidRDefault="00474FAF" w:rsidP="0000565E">
      <w:pPr>
        <w:pStyle w:val="Paragraphedeliste"/>
        <w:numPr>
          <w:ilvl w:val="0"/>
          <w:numId w:val="1"/>
        </w:numPr>
        <w:jc w:val="both"/>
      </w:pPr>
      <w:r>
        <w:t>Température dans la chambre de combustion : en contrôlant le br</w:t>
      </w:r>
      <w:r w:rsidR="0067687A">
        <w:t xml:space="preserve">ûleur primaire et son robinet d’exclusion </w:t>
      </w:r>
      <w:r w:rsidR="00C30FD6">
        <w:t>e</w:t>
      </w:r>
      <w:r w:rsidR="0067687A">
        <w:t xml:space="preserve">t/ou en </w:t>
      </w:r>
      <w:r w:rsidR="00C30FD6">
        <w:t>déclenchant</w:t>
      </w:r>
      <w:r w:rsidR="0067687A">
        <w:t xml:space="preserve"> le </w:t>
      </w:r>
      <w:r w:rsidR="00C30FD6">
        <w:t>système</w:t>
      </w:r>
      <w:r w:rsidR="0067687A">
        <w:t xml:space="preserve"> de sécurité par vaporisation en cas de température excessive</w:t>
      </w:r>
    </w:p>
    <w:p w:rsidR="0067687A" w:rsidRDefault="0067687A" w:rsidP="0000565E">
      <w:pPr>
        <w:pStyle w:val="Paragraphedeliste"/>
        <w:numPr>
          <w:ilvl w:val="0"/>
          <w:numId w:val="1"/>
        </w:numPr>
        <w:jc w:val="both"/>
      </w:pPr>
      <w:r>
        <w:t xml:space="preserve">Température dans la postcombustion : en </w:t>
      </w:r>
      <w:r w:rsidR="0000565E">
        <w:t>régulant</w:t>
      </w:r>
      <w:r>
        <w:t xml:space="preserve"> le brûleur secondaire.</w:t>
      </w:r>
    </w:p>
    <w:p w:rsidR="0067687A" w:rsidRDefault="0067687A" w:rsidP="0000565E">
      <w:pPr>
        <w:pStyle w:val="Titre2"/>
        <w:jc w:val="both"/>
      </w:pPr>
      <w:r>
        <w:t>REFROIDISSEMENT DU FOUR</w:t>
      </w:r>
    </w:p>
    <w:p w:rsidR="0067687A" w:rsidRDefault="0067687A" w:rsidP="0000565E">
      <w:pPr>
        <w:jc w:val="both"/>
      </w:pPr>
      <w:r>
        <w:t xml:space="preserve">Il s’active quand le matériel est épuisé et selon le temps initialement programmé sur le régulateur à microprocesseur et sur les </w:t>
      </w:r>
      <w:r w:rsidR="0000565E">
        <w:t>temporisateurs</w:t>
      </w:r>
      <w:r>
        <w:t xml:space="preserve"> du tableau de commande.</w:t>
      </w:r>
    </w:p>
    <w:p w:rsidR="0067687A" w:rsidRDefault="0067687A" w:rsidP="0000565E">
      <w:pPr>
        <w:jc w:val="both"/>
      </w:pPr>
      <w:r>
        <w:t xml:space="preserve">La phase de refroidissement commence par l’arrêt des brûleurs et la ventilation des chambres de décapage thermique et de postcombustion, avec les ventilateurs des brûleurs et par </w:t>
      </w:r>
      <w:r w:rsidR="0000565E">
        <w:t>insufflation</w:t>
      </w:r>
      <w:r>
        <w:t xml:space="preserve"> de l’air secondaire.</w:t>
      </w:r>
      <w:r w:rsidR="0000565E">
        <w:t xml:space="preserve"> </w:t>
      </w:r>
    </w:p>
    <w:p w:rsidR="0067687A" w:rsidRDefault="0067687A" w:rsidP="0000565E">
      <w:pPr>
        <w:jc w:val="both"/>
      </w:pPr>
      <w:r>
        <w:t xml:space="preserve">Le temps de refroidissement est programmé sur un </w:t>
      </w:r>
      <w:r w:rsidR="0000565E">
        <w:t>temporisateur</w:t>
      </w:r>
      <w:r>
        <w:t xml:space="preserve"> spécial prévu au tableau de commande. Il est basé sur</w:t>
      </w:r>
      <w:r w:rsidR="0000565E">
        <w:t xml:space="preserve"> </w:t>
      </w:r>
      <w:r>
        <w:t>le</w:t>
      </w:r>
      <w:r w:rsidR="0000565E">
        <w:t>s</w:t>
      </w:r>
      <w:r>
        <w:t xml:space="preserve"> données expérimentales et sur l’</w:t>
      </w:r>
      <w:r w:rsidR="0000565E">
        <w:t>expérience.</w:t>
      </w:r>
    </w:p>
    <w:p w:rsidR="0067687A" w:rsidRDefault="0067687A" w:rsidP="0000565E">
      <w:pPr>
        <w:pStyle w:val="Titre2"/>
        <w:jc w:val="both"/>
      </w:pPr>
      <w:r>
        <w:t>EXTRACTION DU MATERIEL TRAITE</w:t>
      </w:r>
    </w:p>
    <w:p w:rsidR="0067687A" w:rsidRDefault="0067687A" w:rsidP="0000565E">
      <w:pPr>
        <w:jc w:val="both"/>
      </w:pPr>
      <w:r>
        <w:t>Toujours au moyen du chariot de manutention.</w:t>
      </w:r>
    </w:p>
    <w:p w:rsidR="0067687A" w:rsidRDefault="0067687A" w:rsidP="0000565E">
      <w:pPr>
        <w:pStyle w:val="Titre2"/>
        <w:jc w:val="both"/>
      </w:pPr>
      <w:r>
        <w:t>ENLEVEMENT DES SCORIES</w:t>
      </w:r>
    </w:p>
    <w:p w:rsidR="0067687A" w:rsidRDefault="0067687A" w:rsidP="0000565E">
      <w:pPr>
        <w:jc w:val="both"/>
      </w:pPr>
      <w:r>
        <w:t xml:space="preserve">On peut évacuer les scories </w:t>
      </w:r>
      <w:r w:rsidR="0000565E">
        <w:t>manuellement</w:t>
      </w:r>
      <w:r>
        <w:t xml:space="preserve"> avec de simples outils d’entretien ou, quand le four est complétement froid, avec un aspirateur industriel.</w:t>
      </w:r>
    </w:p>
    <w:sectPr w:rsidR="006768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D3AB1"/>
    <w:multiLevelType w:val="hybridMultilevel"/>
    <w:tmpl w:val="CA281012"/>
    <w:lvl w:ilvl="0" w:tplc="DEE6DBC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44F3"/>
    <w:rsid w:val="0000565E"/>
    <w:rsid w:val="00474FAF"/>
    <w:rsid w:val="005F0206"/>
    <w:rsid w:val="0067687A"/>
    <w:rsid w:val="006D2335"/>
    <w:rsid w:val="008C359B"/>
    <w:rsid w:val="00C30FD6"/>
    <w:rsid w:val="00C944F3"/>
    <w:rsid w:val="00E76425"/>
    <w:rsid w:val="00F014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18DB0"/>
  <w15:docId w15:val="{EEFA277B-2B32-48CB-B110-D47FD5A9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C30F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944F3"/>
    <w:pPr>
      <w:ind w:left="720"/>
      <w:contextualSpacing/>
    </w:pPr>
  </w:style>
  <w:style w:type="character" w:customStyle="1" w:styleId="Titre2Car">
    <w:name w:val="Titre 2 Car"/>
    <w:basedOn w:val="Policepardfaut"/>
    <w:link w:val="Titre2"/>
    <w:uiPriority w:val="9"/>
    <w:rsid w:val="00C30FD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510</Words>
  <Characters>2807</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CORDONNIER Xavier</dc:creator>
  <cp:lastModifiedBy>Xavier Cordonnier</cp:lastModifiedBy>
  <cp:revision>4</cp:revision>
  <dcterms:created xsi:type="dcterms:W3CDTF">2019-05-09T09:10:00Z</dcterms:created>
  <dcterms:modified xsi:type="dcterms:W3CDTF">2019-05-12T16:28:00Z</dcterms:modified>
</cp:coreProperties>
</file>